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F0D92">
        <w:rPr>
          <w:rFonts w:ascii="Arial" w:hAnsi="Arial" w:cs="Arial"/>
          <w:b/>
          <w:sz w:val="16"/>
          <w:szCs w:val="16"/>
        </w:rPr>
        <w:t>021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9F0D92">
        <w:rPr>
          <w:rFonts w:ascii="Arial" w:hAnsi="Arial" w:cs="Arial"/>
          <w:b/>
          <w:bCs/>
          <w:sz w:val="16"/>
          <w:szCs w:val="16"/>
        </w:rPr>
        <w:t>142</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9F0D92">
        <w:rPr>
          <w:rFonts w:ascii="Arial" w:hAnsi="Arial" w:cs="Arial"/>
          <w:b/>
          <w:bCs/>
          <w:sz w:val="16"/>
          <w:szCs w:val="16"/>
        </w:rPr>
        <w:t>01.1712.11966-00/2016</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9F0D92" w:rsidRPr="006E65B3">
        <w:rPr>
          <w:rFonts w:ascii="Arial" w:hAnsi="Arial" w:cs="Arial"/>
          <w:bCs/>
          <w:sz w:val="16"/>
          <w:szCs w:val="16"/>
        </w:rPr>
        <w:t xml:space="preserve">aquisição de </w:t>
      </w:r>
      <w:r w:rsidR="009F0D92" w:rsidRPr="009F0D92">
        <w:rPr>
          <w:rFonts w:ascii="Arial" w:hAnsi="Arial" w:cs="Arial"/>
          <w:color w:val="000000" w:themeColor="text1"/>
          <w:sz w:val="16"/>
          <w:szCs w:val="16"/>
        </w:rPr>
        <w:t>Material de Consumo –Urologia – (Cateter ureteral Duplo, Equipo urológico e outros), visando atender as necessidades do Setor de Urologia do Hospital de Base "Dr. Ary Pinheiro" HBAP/SESAU/RO</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6E65B3" w:rsidRPr="006E65B3">
        <w:rPr>
          <w:rFonts w:ascii="Arial" w:hAnsi="Arial" w:cs="Arial"/>
          <w:bCs/>
          <w:sz w:val="16"/>
          <w:szCs w:val="16"/>
        </w:rPr>
        <w:t xml:space="preserve">aquisição de </w:t>
      </w:r>
      <w:r w:rsidR="009F0D92" w:rsidRPr="009F0D92">
        <w:rPr>
          <w:rFonts w:ascii="Arial" w:hAnsi="Arial" w:cs="Arial"/>
          <w:color w:val="000000" w:themeColor="text1"/>
          <w:sz w:val="16"/>
          <w:szCs w:val="16"/>
        </w:rPr>
        <w:t>Material de Consumo –Urologia – (Cateter ureteral Duplo, Equipo urológico e outros), visando atender as necessidades do Setor de Urologia do Hospital de Base "Dr. Ary Pinheiro" HBAP/SESAU/RO</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Os materiais, </w:t>
      </w:r>
      <w:r w:rsidRPr="006E65B3">
        <w:rPr>
          <w:rFonts w:ascii="Arial" w:hAnsi="Arial" w:cs="Arial"/>
          <w:bCs/>
          <w:sz w:val="16"/>
          <w:szCs w:val="16"/>
        </w:rPr>
        <w:t>deverão ser entregues</w:t>
      </w:r>
      <w:r>
        <w:rPr>
          <w:rFonts w:ascii="Arial" w:hAnsi="Arial" w:cs="Arial"/>
          <w:bCs/>
          <w:sz w:val="16"/>
          <w:szCs w:val="16"/>
        </w:rPr>
        <w:t xml:space="preserve"> </w:t>
      </w:r>
      <w:r w:rsidRPr="006E65B3">
        <w:rPr>
          <w:rFonts w:ascii="Arial" w:hAnsi="Arial" w:cs="Arial"/>
          <w:bCs/>
          <w:sz w:val="16"/>
          <w:szCs w:val="16"/>
        </w:rPr>
        <w:t>na</w:t>
      </w:r>
      <w:r>
        <w:rPr>
          <w:rFonts w:ascii="Arial" w:hAnsi="Arial" w:cs="Arial"/>
          <w:bCs/>
          <w:sz w:val="16"/>
          <w:szCs w:val="16"/>
        </w:rPr>
        <w:t xml:space="preserve"> </w:t>
      </w:r>
      <w:r w:rsidRPr="006E65B3">
        <w:rPr>
          <w:rFonts w:ascii="Arial" w:hAnsi="Arial" w:cs="Arial"/>
          <w:sz w:val="16"/>
          <w:szCs w:val="16"/>
        </w:rPr>
        <w:t>Central de Abastecimento Farmacêutico - CAF II: Rua: Aparício de Morais n° 4378, Bairro - Setor Industrial, CEP: 76824-128 – Porto Velho/RO. Os dias de funcionamento são de segunda-feira a sexta-feira das 07h30 às 13h30.</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w:t>
      </w:r>
      <w:r w:rsidRPr="006E65B3">
        <w:rPr>
          <w:rFonts w:ascii="Arial" w:hAnsi="Arial" w:cs="Arial"/>
          <w:spacing w:val="5"/>
          <w:sz w:val="16"/>
          <w:szCs w:val="16"/>
        </w:rPr>
        <w:lastRenderedPageBreak/>
        <w:t>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W w:w="93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6804"/>
        <w:gridCol w:w="850"/>
        <w:gridCol w:w="1071"/>
      </w:tblGrid>
      <w:tr w:rsidR="00602E95" w:rsidRPr="00D03EA3" w:rsidTr="00602E95">
        <w:tc>
          <w:tcPr>
            <w:tcW w:w="596" w:type="dxa"/>
            <w:shd w:val="clear" w:color="auto" w:fill="FDE9D9"/>
            <w:vAlign w:val="center"/>
          </w:tcPr>
          <w:p w:rsidR="00602E95" w:rsidRPr="00D03EA3" w:rsidRDefault="00602E95" w:rsidP="006B64B1">
            <w:pPr>
              <w:autoSpaceDE w:val="0"/>
              <w:autoSpaceDN w:val="0"/>
              <w:adjustRightInd w:val="0"/>
              <w:ind w:left="-80" w:right="-108"/>
              <w:jc w:val="center"/>
              <w:rPr>
                <w:b/>
                <w:bCs/>
                <w:sz w:val="22"/>
                <w:szCs w:val="22"/>
              </w:rPr>
            </w:pPr>
            <w:r w:rsidRPr="00D03EA3">
              <w:rPr>
                <w:b/>
                <w:bCs/>
                <w:sz w:val="22"/>
                <w:szCs w:val="22"/>
              </w:rPr>
              <w:t>ITEM</w:t>
            </w:r>
          </w:p>
        </w:tc>
        <w:tc>
          <w:tcPr>
            <w:tcW w:w="6804" w:type="dxa"/>
            <w:shd w:val="clear" w:color="auto" w:fill="FDE9D9"/>
            <w:vAlign w:val="center"/>
          </w:tcPr>
          <w:p w:rsidR="00602E95" w:rsidRPr="00D03EA3" w:rsidRDefault="00602E95" w:rsidP="006B64B1">
            <w:pPr>
              <w:autoSpaceDE w:val="0"/>
              <w:autoSpaceDN w:val="0"/>
              <w:adjustRightInd w:val="0"/>
              <w:ind w:left="115" w:hanging="115"/>
              <w:jc w:val="center"/>
              <w:rPr>
                <w:b/>
                <w:bCs/>
                <w:sz w:val="22"/>
                <w:szCs w:val="22"/>
              </w:rPr>
            </w:pPr>
            <w:r w:rsidRPr="00D03EA3">
              <w:rPr>
                <w:b/>
                <w:bCs/>
                <w:sz w:val="22"/>
                <w:szCs w:val="22"/>
              </w:rPr>
              <w:t>DESCRIÇÃO DA INFRAÇÃO</w:t>
            </w:r>
          </w:p>
        </w:tc>
        <w:tc>
          <w:tcPr>
            <w:tcW w:w="850" w:type="dxa"/>
            <w:shd w:val="clear" w:color="auto" w:fill="FDE9D9"/>
            <w:vAlign w:val="center"/>
          </w:tcPr>
          <w:p w:rsidR="00602E95" w:rsidRPr="00D03EA3" w:rsidRDefault="00602E95" w:rsidP="006B64B1">
            <w:pPr>
              <w:autoSpaceDE w:val="0"/>
              <w:autoSpaceDN w:val="0"/>
              <w:adjustRightInd w:val="0"/>
              <w:ind w:right="-108"/>
              <w:jc w:val="center"/>
              <w:rPr>
                <w:b/>
                <w:bCs/>
                <w:sz w:val="22"/>
                <w:szCs w:val="22"/>
              </w:rPr>
            </w:pPr>
            <w:r w:rsidRPr="00D03EA3">
              <w:rPr>
                <w:b/>
                <w:bCs/>
                <w:sz w:val="22"/>
                <w:szCs w:val="22"/>
              </w:rPr>
              <w:t>GRAU</w:t>
            </w:r>
          </w:p>
        </w:tc>
        <w:tc>
          <w:tcPr>
            <w:tcW w:w="1071" w:type="dxa"/>
            <w:shd w:val="clear" w:color="auto" w:fill="FDE9D9"/>
            <w:vAlign w:val="center"/>
          </w:tcPr>
          <w:p w:rsidR="00602E95" w:rsidRPr="00D03EA3" w:rsidRDefault="00602E95" w:rsidP="006B64B1">
            <w:pPr>
              <w:autoSpaceDE w:val="0"/>
              <w:autoSpaceDN w:val="0"/>
              <w:adjustRightInd w:val="0"/>
              <w:jc w:val="center"/>
              <w:rPr>
                <w:b/>
                <w:bCs/>
                <w:sz w:val="22"/>
                <w:szCs w:val="22"/>
              </w:rPr>
            </w:pPr>
            <w:r w:rsidRPr="00D03EA3">
              <w:rPr>
                <w:b/>
                <w:bCs/>
                <w:sz w:val="22"/>
                <w:szCs w:val="22"/>
              </w:rPr>
              <w:t>MULTA*</w:t>
            </w:r>
          </w:p>
        </w:tc>
      </w:tr>
      <w:tr w:rsidR="00602E95" w:rsidRPr="00D03EA3" w:rsidTr="00602E95">
        <w:tc>
          <w:tcPr>
            <w:tcW w:w="596" w:type="dxa"/>
            <w:vAlign w:val="center"/>
          </w:tcPr>
          <w:p w:rsidR="00602E95" w:rsidRPr="00D03EA3" w:rsidRDefault="00602E95" w:rsidP="00602E95">
            <w:pPr>
              <w:numPr>
                <w:ilvl w:val="0"/>
                <w:numId w:val="14"/>
              </w:numPr>
              <w:autoSpaceDE w:val="0"/>
              <w:autoSpaceDN w:val="0"/>
              <w:adjustRightInd w:val="0"/>
              <w:ind w:left="0" w:firstLine="0"/>
              <w:jc w:val="center"/>
              <w:rPr>
                <w:b/>
                <w:bCs/>
                <w:sz w:val="22"/>
                <w:szCs w:val="22"/>
              </w:rPr>
            </w:pPr>
          </w:p>
        </w:tc>
        <w:tc>
          <w:tcPr>
            <w:tcW w:w="6804" w:type="dxa"/>
            <w:vAlign w:val="center"/>
          </w:tcPr>
          <w:p w:rsidR="00602E95" w:rsidRPr="00D03EA3" w:rsidRDefault="00602E95" w:rsidP="006B64B1">
            <w:pPr>
              <w:autoSpaceDE w:val="0"/>
              <w:autoSpaceDN w:val="0"/>
              <w:adjustRightInd w:val="0"/>
              <w:rPr>
                <w:sz w:val="22"/>
                <w:szCs w:val="22"/>
              </w:rPr>
            </w:pPr>
            <w:r w:rsidRPr="00D03EA3">
              <w:rPr>
                <w:sz w:val="22"/>
                <w:szCs w:val="22"/>
              </w:rPr>
              <w:t xml:space="preserve">Permitir situação que crie a possibilidade ou cause </w:t>
            </w:r>
            <w:proofErr w:type="spellStart"/>
            <w:r w:rsidRPr="00D03EA3">
              <w:rPr>
                <w:sz w:val="22"/>
                <w:szCs w:val="22"/>
              </w:rPr>
              <w:t>dano</w:t>
            </w:r>
            <w:proofErr w:type="spellEnd"/>
            <w:r w:rsidRPr="00D03EA3">
              <w:rPr>
                <w:sz w:val="22"/>
                <w:szCs w:val="22"/>
              </w:rPr>
              <w:t xml:space="preserve"> físico, lesão corporal ou consequências letais; por ocorrência.</w:t>
            </w:r>
          </w:p>
        </w:tc>
        <w:tc>
          <w:tcPr>
            <w:tcW w:w="850"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06</w:t>
            </w:r>
          </w:p>
        </w:tc>
        <w:tc>
          <w:tcPr>
            <w:tcW w:w="1071"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4,0% por dia</w:t>
            </w:r>
          </w:p>
        </w:tc>
      </w:tr>
      <w:tr w:rsidR="00602E95" w:rsidRPr="00D03EA3" w:rsidTr="00602E95">
        <w:tc>
          <w:tcPr>
            <w:tcW w:w="596" w:type="dxa"/>
            <w:vAlign w:val="center"/>
          </w:tcPr>
          <w:p w:rsidR="00602E95" w:rsidRPr="00D03EA3" w:rsidRDefault="00602E95" w:rsidP="00602E95">
            <w:pPr>
              <w:numPr>
                <w:ilvl w:val="0"/>
                <w:numId w:val="14"/>
              </w:numPr>
              <w:autoSpaceDE w:val="0"/>
              <w:autoSpaceDN w:val="0"/>
              <w:adjustRightInd w:val="0"/>
              <w:ind w:left="0" w:firstLine="0"/>
              <w:jc w:val="center"/>
              <w:rPr>
                <w:b/>
                <w:bCs/>
                <w:sz w:val="22"/>
                <w:szCs w:val="22"/>
              </w:rPr>
            </w:pPr>
          </w:p>
        </w:tc>
        <w:tc>
          <w:tcPr>
            <w:tcW w:w="6804" w:type="dxa"/>
            <w:vAlign w:val="center"/>
          </w:tcPr>
          <w:p w:rsidR="00602E95" w:rsidRPr="00D03EA3" w:rsidRDefault="00602E95" w:rsidP="006B64B1">
            <w:pPr>
              <w:autoSpaceDE w:val="0"/>
              <w:autoSpaceDN w:val="0"/>
              <w:adjustRightInd w:val="0"/>
              <w:rPr>
                <w:sz w:val="22"/>
                <w:szCs w:val="22"/>
              </w:rPr>
            </w:pPr>
            <w:r w:rsidRPr="00D03EA3">
              <w:rPr>
                <w:sz w:val="22"/>
                <w:szCs w:val="22"/>
              </w:rPr>
              <w:t xml:space="preserve">Suspender ou interromper, salvo por motivo de força maior ou caso fortuito, a entrega dos materiais, por cada solicitação(NE). </w:t>
            </w:r>
          </w:p>
        </w:tc>
        <w:tc>
          <w:tcPr>
            <w:tcW w:w="850"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05</w:t>
            </w:r>
          </w:p>
        </w:tc>
        <w:tc>
          <w:tcPr>
            <w:tcW w:w="1071"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3,2% por dia</w:t>
            </w:r>
          </w:p>
        </w:tc>
      </w:tr>
      <w:tr w:rsidR="00602E95" w:rsidRPr="00D03EA3" w:rsidTr="00602E95">
        <w:tc>
          <w:tcPr>
            <w:tcW w:w="596" w:type="dxa"/>
            <w:vAlign w:val="center"/>
          </w:tcPr>
          <w:p w:rsidR="00602E95" w:rsidRPr="00D03EA3" w:rsidRDefault="00602E95" w:rsidP="00602E95">
            <w:pPr>
              <w:numPr>
                <w:ilvl w:val="0"/>
                <w:numId w:val="14"/>
              </w:numPr>
              <w:autoSpaceDE w:val="0"/>
              <w:autoSpaceDN w:val="0"/>
              <w:adjustRightInd w:val="0"/>
              <w:ind w:left="0" w:firstLine="0"/>
              <w:jc w:val="center"/>
              <w:rPr>
                <w:b/>
                <w:bCs/>
                <w:sz w:val="22"/>
                <w:szCs w:val="22"/>
              </w:rPr>
            </w:pPr>
          </w:p>
        </w:tc>
        <w:tc>
          <w:tcPr>
            <w:tcW w:w="6804" w:type="dxa"/>
            <w:vAlign w:val="center"/>
          </w:tcPr>
          <w:p w:rsidR="00602E95" w:rsidRPr="00D03EA3" w:rsidRDefault="00602E95" w:rsidP="006B64B1">
            <w:pPr>
              <w:autoSpaceDE w:val="0"/>
              <w:autoSpaceDN w:val="0"/>
              <w:adjustRightInd w:val="0"/>
              <w:rPr>
                <w:sz w:val="22"/>
                <w:szCs w:val="22"/>
              </w:rPr>
            </w:pPr>
            <w:r w:rsidRPr="00D03EA3">
              <w:rPr>
                <w:sz w:val="22"/>
                <w:szCs w:val="22"/>
              </w:rPr>
              <w:t>Destruir ou danificar documentos por culpa ou dolo de seus agentes; por ocorrência.</w:t>
            </w:r>
          </w:p>
        </w:tc>
        <w:tc>
          <w:tcPr>
            <w:tcW w:w="850"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05</w:t>
            </w:r>
          </w:p>
        </w:tc>
        <w:tc>
          <w:tcPr>
            <w:tcW w:w="1071"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3,2% por dia</w:t>
            </w:r>
          </w:p>
        </w:tc>
      </w:tr>
      <w:tr w:rsidR="00602E95" w:rsidRPr="00D03EA3" w:rsidTr="00602E95">
        <w:tc>
          <w:tcPr>
            <w:tcW w:w="596" w:type="dxa"/>
            <w:vAlign w:val="center"/>
          </w:tcPr>
          <w:p w:rsidR="00602E95" w:rsidRPr="00D03EA3" w:rsidRDefault="00602E95" w:rsidP="00602E95">
            <w:pPr>
              <w:numPr>
                <w:ilvl w:val="0"/>
                <w:numId w:val="14"/>
              </w:numPr>
              <w:autoSpaceDE w:val="0"/>
              <w:autoSpaceDN w:val="0"/>
              <w:adjustRightInd w:val="0"/>
              <w:ind w:left="0" w:firstLine="0"/>
              <w:jc w:val="center"/>
              <w:rPr>
                <w:b/>
                <w:bCs/>
                <w:sz w:val="22"/>
                <w:szCs w:val="22"/>
              </w:rPr>
            </w:pPr>
          </w:p>
        </w:tc>
        <w:tc>
          <w:tcPr>
            <w:tcW w:w="6804" w:type="dxa"/>
            <w:vAlign w:val="center"/>
          </w:tcPr>
          <w:p w:rsidR="00602E95" w:rsidRPr="00D03EA3" w:rsidRDefault="00602E95" w:rsidP="006B64B1">
            <w:pPr>
              <w:autoSpaceDE w:val="0"/>
              <w:autoSpaceDN w:val="0"/>
              <w:adjustRightInd w:val="0"/>
              <w:rPr>
                <w:sz w:val="22"/>
                <w:szCs w:val="22"/>
              </w:rPr>
            </w:pPr>
            <w:r w:rsidRPr="00D03EA3">
              <w:rPr>
                <w:sz w:val="22"/>
                <w:szCs w:val="22"/>
              </w:rPr>
              <w:t>Entregar os materiais incompletos ou deixar de providenciar recomposição complementar; por ocorrência.</w:t>
            </w:r>
          </w:p>
        </w:tc>
        <w:tc>
          <w:tcPr>
            <w:tcW w:w="850"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02</w:t>
            </w:r>
          </w:p>
        </w:tc>
        <w:tc>
          <w:tcPr>
            <w:tcW w:w="1071"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0,4% por dia</w:t>
            </w:r>
          </w:p>
        </w:tc>
      </w:tr>
      <w:tr w:rsidR="00602E95" w:rsidRPr="00D03EA3" w:rsidTr="00602E95">
        <w:tc>
          <w:tcPr>
            <w:tcW w:w="596" w:type="dxa"/>
            <w:vAlign w:val="center"/>
          </w:tcPr>
          <w:p w:rsidR="00602E95" w:rsidRPr="00D03EA3" w:rsidRDefault="00602E95" w:rsidP="00602E95">
            <w:pPr>
              <w:numPr>
                <w:ilvl w:val="0"/>
                <w:numId w:val="14"/>
              </w:numPr>
              <w:autoSpaceDE w:val="0"/>
              <w:autoSpaceDN w:val="0"/>
              <w:adjustRightInd w:val="0"/>
              <w:ind w:left="0" w:firstLine="0"/>
              <w:jc w:val="center"/>
              <w:rPr>
                <w:b/>
                <w:bCs/>
                <w:sz w:val="22"/>
                <w:szCs w:val="22"/>
              </w:rPr>
            </w:pPr>
          </w:p>
        </w:tc>
        <w:tc>
          <w:tcPr>
            <w:tcW w:w="6804" w:type="dxa"/>
            <w:vAlign w:val="center"/>
          </w:tcPr>
          <w:p w:rsidR="00602E95" w:rsidRPr="00D03EA3" w:rsidRDefault="00602E95" w:rsidP="006B64B1">
            <w:pPr>
              <w:autoSpaceDE w:val="0"/>
              <w:autoSpaceDN w:val="0"/>
              <w:adjustRightInd w:val="0"/>
              <w:rPr>
                <w:sz w:val="22"/>
                <w:szCs w:val="22"/>
              </w:rPr>
            </w:pPr>
            <w:r w:rsidRPr="00D03EA3">
              <w:rPr>
                <w:sz w:val="22"/>
                <w:szCs w:val="22"/>
              </w:rPr>
              <w:t>Fornecer informação pérfida referente à entrega dos materiais, por ocorrência.</w:t>
            </w:r>
          </w:p>
        </w:tc>
        <w:tc>
          <w:tcPr>
            <w:tcW w:w="850"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02</w:t>
            </w:r>
          </w:p>
        </w:tc>
        <w:tc>
          <w:tcPr>
            <w:tcW w:w="1071"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0,4% por dia</w:t>
            </w:r>
          </w:p>
        </w:tc>
      </w:tr>
      <w:tr w:rsidR="00602E95" w:rsidRPr="00D03EA3" w:rsidTr="00602E95">
        <w:tc>
          <w:tcPr>
            <w:tcW w:w="9321" w:type="dxa"/>
            <w:gridSpan w:val="4"/>
            <w:vAlign w:val="center"/>
          </w:tcPr>
          <w:p w:rsidR="00602E95" w:rsidRPr="00D03EA3" w:rsidRDefault="00602E95" w:rsidP="006B64B1">
            <w:pPr>
              <w:autoSpaceDE w:val="0"/>
              <w:autoSpaceDN w:val="0"/>
              <w:adjustRightInd w:val="0"/>
              <w:jc w:val="center"/>
              <w:rPr>
                <w:b/>
                <w:bCs/>
                <w:sz w:val="22"/>
                <w:szCs w:val="22"/>
              </w:rPr>
            </w:pPr>
            <w:r w:rsidRPr="00D03EA3">
              <w:rPr>
                <w:b/>
                <w:bCs/>
                <w:sz w:val="22"/>
                <w:szCs w:val="22"/>
              </w:rPr>
              <w:t>Para os itens a seguir, deixar de:</w:t>
            </w:r>
          </w:p>
        </w:tc>
      </w:tr>
      <w:tr w:rsidR="00602E95" w:rsidRPr="00D03EA3" w:rsidTr="00602E95">
        <w:tc>
          <w:tcPr>
            <w:tcW w:w="596" w:type="dxa"/>
            <w:vAlign w:val="center"/>
          </w:tcPr>
          <w:p w:rsidR="00602E95" w:rsidRPr="00D03EA3" w:rsidRDefault="00602E95" w:rsidP="00602E95">
            <w:pPr>
              <w:numPr>
                <w:ilvl w:val="0"/>
                <w:numId w:val="14"/>
              </w:numPr>
              <w:autoSpaceDE w:val="0"/>
              <w:autoSpaceDN w:val="0"/>
              <w:adjustRightInd w:val="0"/>
              <w:ind w:left="0" w:firstLine="0"/>
              <w:jc w:val="center"/>
              <w:rPr>
                <w:b/>
                <w:bCs/>
                <w:sz w:val="22"/>
                <w:szCs w:val="22"/>
              </w:rPr>
            </w:pPr>
          </w:p>
        </w:tc>
        <w:tc>
          <w:tcPr>
            <w:tcW w:w="6804" w:type="dxa"/>
            <w:vAlign w:val="center"/>
          </w:tcPr>
          <w:p w:rsidR="00602E95" w:rsidRPr="00D03EA3" w:rsidRDefault="00602E95" w:rsidP="006B64B1">
            <w:pPr>
              <w:autoSpaceDE w:val="0"/>
              <w:autoSpaceDN w:val="0"/>
              <w:adjustRightInd w:val="0"/>
              <w:rPr>
                <w:sz w:val="22"/>
                <w:szCs w:val="22"/>
              </w:rPr>
            </w:pPr>
            <w:r w:rsidRPr="00D03EA3">
              <w:rPr>
                <w:sz w:val="22"/>
                <w:szCs w:val="22"/>
              </w:rPr>
              <w:t>Efetuar o pagamento de seguros, encargos fiscais e sociais, assim como quaisquer despesas diretas e/ou indiretas relacionadas à entrega dos materiais; por dia e por ocorrência;</w:t>
            </w:r>
          </w:p>
        </w:tc>
        <w:tc>
          <w:tcPr>
            <w:tcW w:w="850"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05</w:t>
            </w:r>
          </w:p>
        </w:tc>
        <w:tc>
          <w:tcPr>
            <w:tcW w:w="1071" w:type="dxa"/>
            <w:vAlign w:val="center"/>
          </w:tcPr>
          <w:p w:rsidR="00602E95" w:rsidRPr="00D03EA3" w:rsidRDefault="00602E95" w:rsidP="006B64B1">
            <w:pPr>
              <w:autoSpaceDE w:val="0"/>
              <w:autoSpaceDN w:val="0"/>
              <w:adjustRightInd w:val="0"/>
              <w:jc w:val="center"/>
              <w:rPr>
                <w:sz w:val="22"/>
                <w:szCs w:val="22"/>
              </w:rPr>
            </w:pPr>
            <w:r w:rsidRPr="00D03EA3">
              <w:rPr>
                <w:b/>
                <w:bCs/>
                <w:sz w:val="22"/>
                <w:szCs w:val="22"/>
              </w:rPr>
              <w:t>3,2% por dia</w:t>
            </w:r>
          </w:p>
        </w:tc>
      </w:tr>
      <w:tr w:rsidR="00602E95" w:rsidRPr="00D03EA3" w:rsidTr="00602E95">
        <w:trPr>
          <w:trHeight w:val="558"/>
        </w:trPr>
        <w:tc>
          <w:tcPr>
            <w:tcW w:w="596" w:type="dxa"/>
            <w:vAlign w:val="center"/>
          </w:tcPr>
          <w:p w:rsidR="00602E95" w:rsidRPr="00D03EA3" w:rsidRDefault="00602E95" w:rsidP="00602E95">
            <w:pPr>
              <w:numPr>
                <w:ilvl w:val="0"/>
                <w:numId w:val="14"/>
              </w:numPr>
              <w:autoSpaceDE w:val="0"/>
              <w:autoSpaceDN w:val="0"/>
              <w:adjustRightInd w:val="0"/>
              <w:ind w:left="0" w:firstLine="0"/>
              <w:jc w:val="center"/>
              <w:rPr>
                <w:b/>
                <w:bCs/>
                <w:sz w:val="22"/>
                <w:szCs w:val="22"/>
              </w:rPr>
            </w:pPr>
          </w:p>
        </w:tc>
        <w:tc>
          <w:tcPr>
            <w:tcW w:w="6804" w:type="dxa"/>
            <w:vAlign w:val="center"/>
          </w:tcPr>
          <w:p w:rsidR="00602E95" w:rsidRPr="00D03EA3" w:rsidRDefault="00602E95" w:rsidP="006B64B1">
            <w:pPr>
              <w:autoSpaceDE w:val="0"/>
              <w:autoSpaceDN w:val="0"/>
              <w:adjustRightInd w:val="0"/>
              <w:rPr>
                <w:sz w:val="22"/>
                <w:szCs w:val="22"/>
              </w:rPr>
            </w:pPr>
            <w:r w:rsidRPr="00D03EA3">
              <w:rPr>
                <w:sz w:val="22"/>
                <w:szCs w:val="22"/>
              </w:rPr>
              <w:t>Iniciar a entrega dos materiais no prazo estabelecido.</w:t>
            </w:r>
          </w:p>
        </w:tc>
        <w:tc>
          <w:tcPr>
            <w:tcW w:w="850" w:type="dxa"/>
            <w:vAlign w:val="center"/>
          </w:tcPr>
          <w:p w:rsidR="00602E95" w:rsidRPr="00D03EA3" w:rsidRDefault="00602E95" w:rsidP="006B64B1">
            <w:pPr>
              <w:autoSpaceDE w:val="0"/>
              <w:autoSpaceDN w:val="0"/>
              <w:adjustRightInd w:val="0"/>
              <w:jc w:val="center"/>
              <w:rPr>
                <w:b/>
                <w:bCs/>
                <w:sz w:val="22"/>
                <w:szCs w:val="22"/>
              </w:rPr>
            </w:pPr>
            <w:r w:rsidRPr="00D03EA3">
              <w:rPr>
                <w:b/>
                <w:bCs/>
                <w:sz w:val="22"/>
                <w:szCs w:val="22"/>
              </w:rPr>
              <w:t>03</w:t>
            </w:r>
          </w:p>
        </w:tc>
        <w:tc>
          <w:tcPr>
            <w:tcW w:w="1071" w:type="dxa"/>
            <w:vAlign w:val="center"/>
          </w:tcPr>
          <w:p w:rsidR="00602E95" w:rsidRPr="00D03EA3" w:rsidRDefault="00602E95" w:rsidP="006B64B1">
            <w:pPr>
              <w:autoSpaceDE w:val="0"/>
              <w:autoSpaceDN w:val="0"/>
              <w:adjustRightInd w:val="0"/>
              <w:jc w:val="center"/>
              <w:rPr>
                <w:b/>
                <w:bCs/>
                <w:sz w:val="22"/>
                <w:szCs w:val="22"/>
              </w:rPr>
            </w:pPr>
            <w:r w:rsidRPr="00D03EA3">
              <w:rPr>
                <w:b/>
                <w:bCs/>
                <w:sz w:val="22"/>
                <w:szCs w:val="22"/>
              </w:rPr>
              <w:t>0,8% por dia</w:t>
            </w:r>
          </w:p>
        </w:tc>
      </w:tr>
      <w:tr w:rsidR="00602E95" w:rsidRPr="00D03EA3" w:rsidTr="00602E95">
        <w:tc>
          <w:tcPr>
            <w:tcW w:w="596" w:type="dxa"/>
            <w:vAlign w:val="center"/>
          </w:tcPr>
          <w:p w:rsidR="00602E95" w:rsidRPr="00D03EA3" w:rsidRDefault="00602E95" w:rsidP="00602E95">
            <w:pPr>
              <w:numPr>
                <w:ilvl w:val="0"/>
                <w:numId w:val="14"/>
              </w:numPr>
              <w:autoSpaceDE w:val="0"/>
              <w:autoSpaceDN w:val="0"/>
              <w:adjustRightInd w:val="0"/>
              <w:ind w:left="0" w:firstLine="0"/>
              <w:jc w:val="center"/>
              <w:rPr>
                <w:b/>
                <w:bCs/>
                <w:sz w:val="22"/>
                <w:szCs w:val="22"/>
              </w:rPr>
            </w:pPr>
          </w:p>
        </w:tc>
        <w:tc>
          <w:tcPr>
            <w:tcW w:w="6804" w:type="dxa"/>
            <w:vAlign w:val="center"/>
          </w:tcPr>
          <w:p w:rsidR="00602E95" w:rsidRPr="00D03EA3" w:rsidRDefault="00602E95" w:rsidP="006B64B1">
            <w:pPr>
              <w:autoSpaceDE w:val="0"/>
              <w:autoSpaceDN w:val="0"/>
              <w:adjustRightInd w:val="0"/>
              <w:rPr>
                <w:sz w:val="22"/>
                <w:szCs w:val="22"/>
              </w:rPr>
            </w:pPr>
            <w:r w:rsidRPr="00D03EA3">
              <w:rPr>
                <w:sz w:val="22"/>
                <w:szCs w:val="22"/>
              </w:rPr>
              <w:t>Cumprir quaisquer dos itens do Edital e anexos, mesmo que não previstos nesta tabela de multas, após reincidência formalmente notificada pela fiscalização; por ocorrência.</w:t>
            </w:r>
          </w:p>
        </w:tc>
        <w:tc>
          <w:tcPr>
            <w:tcW w:w="850" w:type="dxa"/>
            <w:vAlign w:val="center"/>
          </w:tcPr>
          <w:p w:rsidR="00602E95" w:rsidRPr="00D03EA3" w:rsidRDefault="00602E95" w:rsidP="006B64B1">
            <w:pPr>
              <w:autoSpaceDE w:val="0"/>
              <w:autoSpaceDN w:val="0"/>
              <w:adjustRightInd w:val="0"/>
              <w:jc w:val="center"/>
              <w:rPr>
                <w:b/>
                <w:bCs/>
                <w:sz w:val="22"/>
                <w:szCs w:val="22"/>
              </w:rPr>
            </w:pPr>
            <w:r w:rsidRPr="00D03EA3">
              <w:rPr>
                <w:b/>
                <w:bCs/>
                <w:sz w:val="22"/>
                <w:szCs w:val="22"/>
              </w:rPr>
              <w:t>02</w:t>
            </w:r>
          </w:p>
        </w:tc>
        <w:tc>
          <w:tcPr>
            <w:tcW w:w="1071" w:type="dxa"/>
            <w:vAlign w:val="center"/>
          </w:tcPr>
          <w:p w:rsidR="00602E95" w:rsidRPr="00D03EA3" w:rsidRDefault="00602E95" w:rsidP="006B64B1">
            <w:pPr>
              <w:autoSpaceDE w:val="0"/>
              <w:autoSpaceDN w:val="0"/>
              <w:adjustRightInd w:val="0"/>
              <w:jc w:val="center"/>
              <w:rPr>
                <w:b/>
                <w:bCs/>
                <w:sz w:val="22"/>
                <w:szCs w:val="22"/>
              </w:rPr>
            </w:pPr>
            <w:r w:rsidRPr="00D03EA3">
              <w:rPr>
                <w:b/>
                <w:bCs/>
                <w:sz w:val="22"/>
                <w:szCs w:val="22"/>
              </w:rPr>
              <w:t>0,4% por dia</w:t>
            </w:r>
          </w:p>
        </w:tc>
      </w:tr>
      <w:tr w:rsidR="00602E95" w:rsidRPr="00D03EA3" w:rsidTr="00602E95">
        <w:trPr>
          <w:trHeight w:val="219"/>
        </w:trPr>
        <w:tc>
          <w:tcPr>
            <w:tcW w:w="596" w:type="dxa"/>
            <w:vAlign w:val="center"/>
          </w:tcPr>
          <w:p w:rsidR="00602E95" w:rsidRPr="00D03EA3" w:rsidRDefault="00602E95" w:rsidP="00602E95">
            <w:pPr>
              <w:numPr>
                <w:ilvl w:val="0"/>
                <w:numId w:val="14"/>
              </w:numPr>
              <w:autoSpaceDE w:val="0"/>
              <w:autoSpaceDN w:val="0"/>
              <w:adjustRightInd w:val="0"/>
              <w:ind w:left="0" w:firstLine="0"/>
              <w:jc w:val="center"/>
              <w:rPr>
                <w:b/>
                <w:bCs/>
                <w:sz w:val="22"/>
                <w:szCs w:val="22"/>
              </w:rPr>
            </w:pPr>
          </w:p>
        </w:tc>
        <w:tc>
          <w:tcPr>
            <w:tcW w:w="6804" w:type="dxa"/>
            <w:vAlign w:val="center"/>
          </w:tcPr>
          <w:p w:rsidR="00602E95" w:rsidRPr="00D03EA3" w:rsidRDefault="00602E95" w:rsidP="006B64B1">
            <w:pPr>
              <w:autoSpaceDE w:val="0"/>
              <w:autoSpaceDN w:val="0"/>
              <w:adjustRightInd w:val="0"/>
              <w:rPr>
                <w:sz w:val="22"/>
                <w:szCs w:val="22"/>
              </w:rPr>
            </w:pPr>
            <w:r w:rsidRPr="00D03EA3">
              <w:rPr>
                <w:sz w:val="22"/>
                <w:szCs w:val="22"/>
              </w:rPr>
              <w:t>Manter a documentação de habilitação atualizada; por item, por ocorrência.</w:t>
            </w:r>
          </w:p>
        </w:tc>
        <w:tc>
          <w:tcPr>
            <w:tcW w:w="850" w:type="dxa"/>
            <w:vAlign w:val="center"/>
          </w:tcPr>
          <w:p w:rsidR="00602E95" w:rsidRPr="00D03EA3" w:rsidRDefault="00602E95" w:rsidP="006B64B1">
            <w:pPr>
              <w:autoSpaceDE w:val="0"/>
              <w:autoSpaceDN w:val="0"/>
              <w:adjustRightInd w:val="0"/>
              <w:jc w:val="center"/>
              <w:rPr>
                <w:b/>
                <w:bCs/>
                <w:sz w:val="22"/>
                <w:szCs w:val="22"/>
              </w:rPr>
            </w:pPr>
            <w:r w:rsidRPr="00D03EA3">
              <w:rPr>
                <w:b/>
                <w:bCs/>
                <w:sz w:val="22"/>
                <w:szCs w:val="22"/>
              </w:rPr>
              <w:t>01</w:t>
            </w:r>
          </w:p>
        </w:tc>
        <w:tc>
          <w:tcPr>
            <w:tcW w:w="1071" w:type="dxa"/>
            <w:vAlign w:val="center"/>
          </w:tcPr>
          <w:p w:rsidR="00602E95" w:rsidRPr="00D03EA3" w:rsidRDefault="00602E95" w:rsidP="006B64B1">
            <w:pPr>
              <w:autoSpaceDE w:val="0"/>
              <w:autoSpaceDN w:val="0"/>
              <w:adjustRightInd w:val="0"/>
              <w:jc w:val="center"/>
              <w:rPr>
                <w:b/>
                <w:bCs/>
                <w:sz w:val="22"/>
                <w:szCs w:val="22"/>
              </w:rPr>
            </w:pPr>
            <w:r w:rsidRPr="00D03EA3">
              <w:rPr>
                <w:b/>
                <w:bCs/>
                <w:sz w:val="22"/>
                <w:szCs w:val="22"/>
              </w:rPr>
              <w:t>0,2% por dia</w:t>
            </w:r>
          </w:p>
        </w:tc>
      </w:tr>
    </w:tbl>
    <w:p w:rsidR="00602E95" w:rsidRPr="00D03EA3" w:rsidRDefault="00602E95" w:rsidP="00602E95">
      <w:pPr>
        <w:pStyle w:val="SemEspaamento"/>
        <w:tabs>
          <w:tab w:val="left" w:pos="567"/>
        </w:tabs>
        <w:suppressAutoHyphens/>
        <w:ind w:right="-1"/>
        <w:rPr>
          <w:sz w:val="22"/>
          <w:szCs w:val="22"/>
        </w:rPr>
      </w:pPr>
    </w:p>
    <w:p w:rsidR="00602E95" w:rsidRPr="00D03EA3" w:rsidRDefault="00602E95" w:rsidP="00602E95">
      <w:pPr>
        <w:pStyle w:val="SemEspaamento"/>
        <w:tabs>
          <w:tab w:val="left" w:pos="1920"/>
        </w:tabs>
        <w:suppressAutoHyphens/>
        <w:ind w:right="-1"/>
        <w:rPr>
          <w:bCs/>
          <w:i/>
          <w:sz w:val="22"/>
          <w:szCs w:val="22"/>
        </w:rPr>
      </w:pPr>
      <w:r w:rsidRPr="00D03EA3">
        <w:rPr>
          <w:sz w:val="22"/>
          <w:szCs w:val="22"/>
        </w:rPr>
        <w:tab/>
      </w:r>
    </w:p>
    <w:p w:rsidR="00602E95" w:rsidRPr="00602E95" w:rsidRDefault="00602E95" w:rsidP="00602E95">
      <w:pPr>
        <w:jc w:val="both"/>
        <w:rPr>
          <w:rFonts w:ascii="Arial" w:hAnsi="Arial" w:cs="Arial"/>
          <w:bCs/>
          <w:sz w:val="16"/>
          <w:szCs w:val="16"/>
        </w:rPr>
      </w:pPr>
      <w:r w:rsidRPr="00602E95">
        <w:rPr>
          <w:rFonts w:ascii="Arial" w:hAnsi="Arial" w:cs="Arial"/>
          <w:b/>
          <w:bCs/>
          <w:sz w:val="16"/>
          <w:szCs w:val="16"/>
        </w:rPr>
        <w:t>9.11</w:t>
      </w:r>
      <w:r w:rsidRPr="00602E95">
        <w:rPr>
          <w:rFonts w:ascii="Arial" w:hAnsi="Arial" w:cs="Arial"/>
          <w:bCs/>
          <w:sz w:val="16"/>
          <w:szCs w:val="16"/>
        </w:rPr>
        <w:t xml:space="preserve"> Após 30 (trinta) dias da falta de execução do objeto, será considerada inexecução total do contrato, o que ensejará a rescisão contratual.</w:t>
      </w:r>
    </w:p>
    <w:p w:rsidR="00602E95" w:rsidRPr="00602E95" w:rsidRDefault="00602E95" w:rsidP="00602E95">
      <w:pPr>
        <w:jc w:val="both"/>
        <w:rPr>
          <w:rFonts w:ascii="Arial" w:hAnsi="Arial" w:cs="Arial"/>
          <w:bCs/>
          <w:sz w:val="16"/>
          <w:szCs w:val="16"/>
        </w:rPr>
      </w:pPr>
    </w:p>
    <w:p w:rsidR="00602E95" w:rsidRPr="00602E95" w:rsidRDefault="00602E95" w:rsidP="00602E95">
      <w:pPr>
        <w:jc w:val="both"/>
        <w:rPr>
          <w:rFonts w:ascii="Arial" w:hAnsi="Arial" w:cs="Arial"/>
          <w:bCs/>
          <w:sz w:val="16"/>
          <w:szCs w:val="16"/>
        </w:rPr>
      </w:pPr>
      <w:proofErr w:type="gramStart"/>
      <w:r w:rsidRPr="00602E95">
        <w:rPr>
          <w:rFonts w:ascii="Arial" w:hAnsi="Arial" w:cs="Arial"/>
          <w:b/>
          <w:bCs/>
          <w:sz w:val="16"/>
          <w:szCs w:val="16"/>
        </w:rPr>
        <w:t>9.12</w:t>
      </w:r>
      <w:r w:rsidRPr="00602E95">
        <w:rPr>
          <w:rFonts w:ascii="Arial" w:hAnsi="Arial" w:cs="Arial"/>
          <w:bCs/>
          <w:sz w:val="16"/>
          <w:szCs w:val="16"/>
        </w:rPr>
        <w:t xml:space="preserve">  As</w:t>
      </w:r>
      <w:proofErr w:type="gramEnd"/>
      <w:r w:rsidRPr="00602E95">
        <w:rPr>
          <w:rFonts w:ascii="Arial" w:hAnsi="Arial" w:cs="Arial"/>
          <w:bCs/>
          <w:sz w:val="16"/>
          <w:szCs w:val="16"/>
        </w:rPr>
        <w:t xml:space="preserve"> sanções de natureza pecuniária serão diretamente descontadas de créditos que eventualmente detenha a CONTRATADA ou efetuada a sua cobrança na forma prevista em lei.</w:t>
      </w:r>
    </w:p>
    <w:p w:rsidR="00602E95" w:rsidRPr="00602E95" w:rsidRDefault="00602E95" w:rsidP="00602E95">
      <w:pPr>
        <w:jc w:val="both"/>
        <w:rPr>
          <w:rFonts w:ascii="Arial" w:hAnsi="Arial" w:cs="Arial"/>
          <w:bCs/>
          <w:sz w:val="16"/>
          <w:szCs w:val="16"/>
        </w:rPr>
      </w:pPr>
    </w:p>
    <w:p w:rsidR="00602E95" w:rsidRPr="00602E95" w:rsidRDefault="00602E95" w:rsidP="00602E95">
      <w:pPr>
        <w:jc w:val="both"/>
        <w:rPr>
          <w:rFonts w:ascii="Arial" w:hAnsi="Arial" w:cs="Arial"/>
          <w:bCs/>
          <w:sz w:val="16"/>
          <w:szCs w:val="16"/>
        </w:rPr>
      </w:pPr>
      <w:r w:rsidRPr="00602E95">
        <w:rPr>
          <w:rFonts w:ascii="Arial" w:hAnsi="Arial" w:cs="Arial"/>
          <w:b/>
          <w:bCs/>
          <w:sz w:val="16"/>
          <w:szCs w:val="16"/>
        </w:rPr>
        <w:t>9.13</w:t>
      </w:r>
      <w:r w:rsidRPr="00602E95">
        <w:rPr>
          <w:rFonts w:ascii="Arial" w:hAnsi="Arial" w:cs="Arial"/>
          <w:bCs/>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02E95" w:rsidRPr="00602E95" w:rsidRDefault="00602E95" w:rsidP="00602E95">
      <w:pPr>
        <w:jc w:val="both"/>
        <w:rPr>
          <w:rFonts w:ascii="Arial" w:hAnsi="Arial" w:cs="Arial"/>
          <w:bCs/>
          <w:sz w:val="16"/>
          <w:szCs w:val="16"/>
        </w:rPr>
      </w:pPr>
    </w:p>
    <w:p w:rsidR="00602E95" w:rsidRPr="00602E95" w:rsidRDefault="00602E95" w:rsidP="00602E95">
      <w:pPr>
        <w:jc w:val="both"/>
        <w:rPr>
          <w:rFonts w:ascii="Arial" w:hAnsi="Arial" w:cs="Arial"/>
          <w:bCs/>
          <w:sz w:val="16"/>
          <w:szCs w:val="16"/>
        </w:rPr>
      </w:pPr>
      <w:r w:rsidRPr="00602E95">
        <w:rPr>
          <w:rFonts w:ascii="Arial" w:hAnsi="Arial" w:cs="Arial"/>
          <w:b/>
          <w:bCs/>
          <w:sz w:val="16"/>
          <w:szCs w:val="16"/>
        </w:rPr>
        <w:t>9.14</w:t>
      </w:r>
      <w:r w:rsidRPr="00602E95">
        <w:rPr>
          <w:rFonts w:ascii="Arial" w:hAnsi="Arial" w:cs="Arial"/>
          <w:bCs/>
          <w:sz w:val="16"/>
          <w:szCs w:val="16"/>
        </w:rPr>
        <w:t xml:space="preserve"> A autoridade competente, na aplicação das sanções, levará em consideração a gravidade da conduta do infrator, o caráter educativo da pena, bem como o dano causado </w:t>
      </w:r>
      <w:proofErr w:type="spellStart"/>
      <w:r w:rsidRPr="00602E95">
        <w:rPr>
          <w:rFonts w:ascii="Arial" w:hAnsi="Arial" w:cs="Arial"/>
          <w:bCs/>
          <w:sz w:val="16"/>
          <w:szCs w:val="16"/>
        </w:rPr>
        <w:t>á</w:t>
      </w:r>
      <w:proofErr w:type="spellEnd"/>
      <w:r w:rsidRPr="00602E95">
        <w:rPr>
          <w:rFonts w:ascii="Arial" w:hAnsi="Arial" w:cs="Arial"/>
          <w:bCs/>
          <w:sz w:val="16"/>
          <w:szCs w:val="16"/>
        </w:rPr>
        <w:t xml:space="preserve"> Administração, observado o princípio da proporcionalidade.</w:t>
      </w:r>
    </w:p>
    <w:p w:rsidR="00602E95" w:rsidRPr="00602E95" w:rsidRDefault="00602E95" w:rsidP="00602E95">
      <w:pPr>
        <w:jc w:val="both"/>
        <w:rPr>
          <w:rFonts w:ascii="Arial" w:hAnsi="Arial" w:cs="Arial"/>
          <w:bCs/>
          <w:sz w:val="16"/>
          <w:szCs w:val="16"/>
        </w:rPr>
      </w:pPr>
    </w:p>
    <w:p w:rsidR="00602E95" w:rsidRPr="00602E95" w:rsidRDefault="00602E95" w:rsidP="00602E95">
      <w:pPr>
        <w:jc w:val="both"/>
        <w:rPr>
          <w:rFonts w:ascii="Arial" w:hAnsi="Arial" w:cs="Arial"/>
          <w:bCs/>
          <w:sz w:val="16"/>
          <w:szCs w:val="16"/>
        </w:rPr>
      </w:pPr>
      <w:r w:rsidRPr="00602E95">
        <w:rPr>
          <w:rFonts w:ascii="Arial" w:hAnsi="Arial" w:cs="Arial"/>
          <w:b/>
          <w:bCs/>
          <w:sz w:val="16"/>
          <w:szCs w:val="16"/>
        </w:rPr>
        <w:t>9.15</w:t>
      </w:r>
      <w:r w:rsidRPr="00602E95">
        <w:rPr>
          <w:rFonts w:ascii="Arial" w:hAnsi="Arial" w:cs="Arial"/>
          <w:bCs/>
          <w:sz w:val="16"/>
          <w:szCs w:val="16"/>
        </w:rPr>
        <w:t xml:space="preserve"> A sanção </w:t>
      </w:r>
      <w:proofErr w:type="gramStart"/>
      <w:r w:rsidRPr="00602E95">
        <w:rPr>
          <w:rFonts w:ascii="Arial" w:hAnsi="Arial" w:cs="Arial"/>
          <w:bCs/>
          <w:sz w:val="16"/>
          <w:szCs w:val="16"/>
        </w:rPr>
        <w:t>será  obrigatoriamente</w:t>
      </w:r>
      <w:proofErr w:type="gramEnd"/>
      <w:r w:rsidRPr="00602E95">
        <w:rPr>
          <w:rFonts w:ascii="Arial" w:hAnsi="Arial" w:cs="Arial"/>
          <w:bCs/>
          <w:sz w:val="16"/>
          <w:szCs w:val="16"/>
        </w:rPr>
        <w:t xml:space="preserve"> registrada no sistema de Cadastramento Unificado de Fornecedores – SICAF, bem como em sistemas Estaduais.</w:t>
      </w:r>
    </w:p>
    <w:p w:rsidR="00602E95" w:rsidRPr="00602E95" w:rsidRDefault="00602E95" w:rsidP="00602E95">
      <w:pPr>
        <w:jc w:val="both"/>
        <w:rPr>
          <w:rFonts w:ascii="Arial" w:hAnsi="Arial" w:cs="Arial"/>
          <w:b/>
          <w:bCs/>
          <w:sz w:val="16"/>
          <w:szCs w:val="16"/>
        </w:rPr>
      </w:pPr>
    </w:p>
    <w:p w:rsidR="00602E95" w:rsidRPr="00602E95" w:rsidRDefault="00602E95" w:rsidP="00602E95">
      <w:pPr>
        <w:jc w:val="both"/>
        <w:rPr>
          <w:rFonts w:ascii="Arial" w:hAnsi="Arial" w:cs="Arial"/>
          <w:bCs/>
          <w:sz w:val="16"/>
          <w:szCs w:val="16"/>
        </w:rPr>
      </w:pPr>
      <w:r w:rsidRPr="00602E95">
        <w:rPr>
          <w:rFonts w:ascii="Arial" w:hAnsi="Arial" w:cs="Arial"/>
          <w:b/>
          <w:bCs/>
          <w:sz w:val="16"/>
          <w:szCs w:val="16"/>
        </w:rPr>
        <w:t>9.16</w:t>
      </w:r>
      <w:r w:rsidRPr="00602E95">
        <w:rPr>
          <w:rFonts w:ascii="Arial" w:hAnsi="Arial" w:cs="Arial"/>
          <w:bCs/>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02E95" w:rsidRPr="00602E95" w:rsidRDefault="00602E95" w:rsidP="00602E95">
      <w:pPr>
        <w:jc w:val="both"/>
        <w:rPr>
          <w:rFonts w:ascii="Arial" w:hAnsi="Arial" w:cs="Arial"/>
          <w:bCs/>
          <w:sz w:val="16"/>
          <w:szCs w:val="16"/>
        </w:rPr>
      </w:pPr>
    </w:p>
    <w:p w:rsidR="00602E95" w:rsidRPr="004A416F" w:rsidRDefault="00602E95" w:rsidP="004A416F">
      <w:pPr>
        <w:pStyle w:val="PargrafodaLista"/>
        <w:numPr>
          <w:ilvl w:val="0"/>
          <w:numId w:val="43"/>
        </w:numPr>
        <w:jc w:val="both"/>
        <w:rPr>
          <w:rFonts w:ascii="Arial" w:hAnsi="Arial" w:cs="Arial"/>
          <w:bCs/>
          <w:sz w:val="16"/>
          <w:szCs w:val="16"/>
        </w:rPr>
      </w:pPr>
      <w:r w:rsidRPr="004A416F">
        <w:rPr>
          <w:rFonts w:ascii="Arial" w:hAnsi="Arial" w:cs="Arial"/>
          <w:bCs/>
          <w:sz w:val="16"/>
          <w:szCs w:val="16"/>
        </w:rPr>
        <w:t>Tenham sofrido condenações definitivas por praticarem, por meio dolosos, fraude fiscal no recolhimento de tributos;</w:t>
      </w:r>
    </w:p>
    <w:p w:rsidR="00602E95" w:rsidRPr="004A416F" w:rsidRDefault="00602E95" w:rsidP="004A416F">
      <w:pPr>
        <w:pStyle w:val="PargrafodaLista"/>
        <w:numPr>
          <w:ilvl w:val="0"/>
          <w:numId w:val="43"/>
        </w:numPr>
        <w:jc w:val="both"/>
        <w:rPr>
          <w:rFonts w:ascii="Arial" w:hAnsi="Arial" w:cs="Arial"/>
          <w:bCs/>
          <w:sz w:val="16"/>
          <w:szCs w:val="16"/>
        </w:rPr>
      </w:pPr>
      <w:r w:rsidRPr="004A416F">
        <w:rPr>
          <w:rFonts w:ascii="Arial" w:hAnsi="Arial" w:cs="Arial"/>
          <w:bCs/>
          <w:sz w:val="16"/>
          <w:szCs w:val="16"/>
        </w:rPr>
        <w:t xml:space="preserve">Tenham praticado atos ilícitos visando a </w:t>
      </w:r>
      <w:proofErr w:type="spellStart"/>
      <w:r w:rsidRPr="004A416F">
        <w:rPr>
          <w:rFonts w:ascii="Arial" w:hAnsi="Arial" w:cs="Arial"/>
          <w:bCs/>
          <w:sz w:val="16"/>
          <w:szCs w:val="16"/>
        </w:rPr>
        <w:t>frustar</w:t>
      </w:r>
      <w:proofErr w:type="spellEnd"/>
      <w:r w:rsidRPr="004A416F">
        <w:rPr>
          <w:rFonts w:ascii="Arial" w:hAnsi="Arial" w:cs="Arial"/>
          <w:bCs/>
          <w:sz w:val="16"/>
          <w:szCs w:val="16"/>
        </w:rPr>
        <w:t xml:space="preserve"> os objetivos da licitação;</w:t>
      </w:r>
    </w:p>
    <w:p w:rsidR="00602E95" w:rsidRPr="004A416F" w:rsidRDefault="00602E95" w:rsidP="004A416F">
      <w:pPr>
        <w:pStyle w:val="PargrafodaLista"/>
        <w:numPr>
          <w:ilvl w:val="0"/>
          <w:numId w:val="43"/>
        </w:numPr>
        <w:jc w:val="both"/>
        <w:rPr>
          <w:rFonts w:ascii="Arial" w:hAnsi="Arial" w:cs="Arial"/>
          <w:bCs/>
          <w:sz w:val="16"/>
          <w:szCs w:val="16"/>
        </w:rPr>
      </w:pPr>
      <w:r w:rsidRPr="004A416F">
        <w:rPr>
          <w:rFonts w:ascii="Arial" w:hAnsi="Arial" w:cs="Arial"/>
          <w:bCs/>
          <w:sz w:val="16"/>
          <w:szCs w:val="16"/>
        </w:rPr>
        <w:t xml:space="preserve">Demonstrem não possuir idoneidade para </w:t>
      </w:r>
      <w:proofErr w:type="gramStart"/>
      <w:r w:rsidRPr="004A416F">
        <w:rPr>
          <w:rFonts w:ascii="Arial" w:hAnsi="Arial" w:cs="Arial"/>
          <w:bCs/>
          <w:sz w:val="16"/>
          <w:szCs w:val="16"/>
        </w:rPr>
        <w:t>contratar  com</w:t>
      </w:r>
      <w:proofErr w:type="gramEnd"/>
      <w:r w:rsidRPr="004A416F">
        <w:rPr>
          <w:rFonts w:ascii="Arial" w:hAnsi="Arial" w:cs="Arial"/>
          <w:bCs/>
          <w:sz w:val="16"/>
          <w:szCs w:val="16"/>
        </w:rPr>
        <w:t xml:space="preserve"> a Administração em virtude de atos ilícitos praticados.</w:t>
      </w:r>
    </w:p>
    <w:p w:rsidR="002069DE" w:rsidRDefault="002069DE" w:rsidP="002069DE">
      <w:pPr>
        <w:pStyle w:val="Lista2"/>
        <w:ind w:left="360" w:firstLine="0"/>
        <w:jc w:val="both"/>
        <w:rPr>
          <w:bCs/>
          <w:sz w:val="16"/>
          <w:szCs w:val="16"/>
        </w:rPr>
      </w:pPr>
    </w:p>
    <w:p w:rsidR="00602E95" w:rsidRDefault="00602E95" w:rsidP="002069DE">
      <w:pPr>
        <w:pStyle w:val="Lista2"/>
        <w:ind w:left="360" w:firstLine="0"/>
        <w:jc w:val="both"/>
        <w:rPr>
          <w:bCs/>
          <w:sz w:val="16"/>
          <w:szCs w:val="16"/>
        </w:rPr>
      </w:pPr>
    </w:p>
    <w:p w:rsidR="00602E95" w:rsidRPr="00206244" w:rsidRDefault="00602E95"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lastRenderedPageBreak/>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4A416F">
        <w:rPr>
          <w:rFonts w:ascii="Arial" w:hAnsi="Arial" w:cs="Arial"/>
          <w:b/>
          <w:bCs/>
          <w:color w:val="000000"/>
          <w:sz w:val="16"/>
          <w:szCs w:val="16"/>
        </w:rPr>
        <w:t>Marcio Rogerio Gabriel</w:t>
      </w:r>
      <w:r w:rsidR="004A416F">
        <w:rPr>
          <w:rFonts w:ascii="Arial" w:hAnsi="Arial" w:cs="Arial"/>
          <w:b/>
          <w:bCs/>
          <w:color w:val="000000"/>
          <w:sz w:val="16"/>
          <w:szCs w:val="16"/>
        </w:rPr>
        <w:tab/>
      </w:r>
      <w:r w:rsidR="004A416F">
        <w:rPr>
          <w:rFonts w:ascii="Arial" w:hAnsi="Arial" w:cs="Arial"/>
          <w:b/>
          <w:bCs/>
          <w:color w:val="000000"/>
          <w:sz w:val="16"/>
          <w:szCs w:val="16"/>
        </w:rPr>
        <w:tab/>
        <w:t xml:space="preserve">                      </w:t>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w:t>
      </w:r>
      <w:r w:rsidR="00256EE5">
        <w:rPr>
          <w:rFonts w:ascii="Arial" w:hAnsi="Arial" w:cs="Arial"/>
          <w:bCs/>
          <w:color w:val="000000"/>
          <w:sz w:val="16"/>
          <w:szCs w:val="16"/>
        </w:rPr>
        <w:t xml:space="preserve">     Superintendente</w:t>
      </w:r>
      <w:r>
        <w:rPr>
          <w:rFonts w:ascii="Arial" w:hAnsi="Arial" w:cs="Arial"/>
          <w:bCs/>
          <w:color w:val="000000"/>
          <w:sz w:val="16"/>
          <w:szCs w:val="16"/>
        </w:rPr>
        <w:t xml:space="preserve"> </w:t>
      </w:r>
      <w:r w:rsidR="004A416F">
        <w:rPr>
          <w:rFonts w:ascii="Arial" w:hAnsi="Arial" w:cs="Arial"/>
          <w:bCs/>
          <w:color w:val="000000"/>
          <w:sz w:val="16"/>
          <w:szCs w:val="16"/>
        </w:rPr>
        <w:tab/>
      </w:r>
      <w:r w:rsidR="004A416F">
        <w:rPr>
          <w:rFonts w:ascii="Arial" w:hAnsi="Arial" w:cs="Arial"/>
          <w:bCs/>
          <w:color w:val="000000"/>
          <w:sz w:val="16"/>
          <w:szCs w:val="16"/>
        </w:rPr>
        <w:tab/>
        <w:t xml:space="preserve">            </w:t>
      </w:r>
      <w:r w:rsidR="00256EE5">
        <w:rPr>
          <w:rFonts w:ascii="Arial" w:hAnsi="Arial" w:cs="Arial"/>
          <w:bCs/>
          <w:color w:val="000000"/>
          <w:sz w:val="16"/>
          <w:szCs w:val="16"/>
        </w:rPr>
        <w:t xml:space="preserve">  </w:t>
      </w:r>
      <w:bookmarkStart w:id="1" w:name="_GoBack"/>
      <w:bookmarkEnd w:id="1"/>
      <w:r w:rsidR="004A416F">
        <w:rPr>
          <w:rFonts w:ascii="Arial" w:hAnsi="Arial" w:cs="Arial"/>
          <w:bCs/>
          <w:color w:val="000000"/>
          <w:sz w:val="16"/>
          <w:szCs w:val="16"/>
        </w:rPr>
        <w:t xml:space="preserve"> Coordenadora do Registro de Preço</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4A416F"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160630"/>
    <w:multiLevelType w:val="hybridMultilevel"/>
    <w:tmpl w:val="CE88BF7A"/>
    <w:lvl w:ilvl="0" w:tplc="D95C592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1">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5"/>
  </w:num>
  <w:num w:numId="3">
    <w:abstractNumId w:val="12"/>
  </w:num>
  <w:num w:numId="4">
    <w:abstractNumId w:val="10"/>
  </w:num>
  <w:num w:numId="5">
    <w:abstractNumId w:val="28"/>
  </w:num>
  <w:num w:numId="6">
    <w:abstractNumId w:val="26"/>
  </w:num>
  <w:num w:numId="7">
    <w:abstractNumId w:val="37"/>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0"/>
  </w:num>
  <w:num w:numId="15">
    <w:abstractNumId w:val="2"/>
  </w:num>
  <w:num w:numId="16">
    <w:abstractNumId w:val="6"/>
  </w:num>
  <w:num w:numId="17">
    <w:abstractNumId w:val="5"/>
  </w:num>
  <w:num w:numId="18">
    <w:abstractNumId w:val="4"/>
  </w:num>
  <w:num w:numId="19">
    <w:abstractNumId w:val="34"/>
  </w:num>
  <w:num w:numId="20">
    <w:abstractNumId w:val="36"/>
  </w:num>
  <w:num w:numId="21">
    <w:abstractNumId w:val="14"/>
  </w:num>
  <w:num w:numId="22">
    <w:abstractNumId w:val="39"/>
  </w:num>
  <w:num w:numId="23">
    <w:abstractNumId w:val="33"/>
  </w:num>
  <w:num w:numId="24">
    <w:abstractNumId w:val="13"/>
  </w:num>
  <w:num w:numId="25">
    <w:abstractNumId w:val="42"/>
  </w:num>
  <w:num w:numId="26">
    <w:abstractNumId w:val="21"/>
  </w:num>
  <w:num w:numId="27">
    <w:abstractNumId w:val="17"/>
  </w:num>
  <w:num w:numId="28">
    <w:abstractNumId w:val="11"/>
  </w:num>
  <w:num w:numId="29">
    <w:abstractNumId w:val="15"/>
  </w:num>
  <w:num w:numId="30">
    <w:abstractNumId w:val="29"/>
  </w:num>
  <w:num w:numId="31">
    <w:abstractNumId w:val="7"/>
  </w:num>
  <w:num w:numId="32">
    <w:abstractNumId w:val="23"/>
  </w:num>
  <w:num w:numId="33">
    <w:abstractNumId w:val="31"/>
  </w:num>
  <w:num w:numId="34">
    <w:abstractNumId w:val="18"/>
  </w:num>
  <w:num w:numId="35">
    <w:abstractNumId w:val="35"/>
  </w:num>
  <w:num w:numId="36">
    <w:abstractNumId w:val="19"/>
  </w:num>
  <w:num w:numId="37">
    <w:abstractNumId w:val="3"/>
  </w:num>
  <w:num w:numId="38">
    <w:abstractNumId w:val="41"/>
  </w:num>
  <w:num w:numId="39">
    <w:abstractNumId w:val="8"/>
  </w:num>
  <w:num w:numId="40">
    <w:abstractNumId w:val="20"/>
  </w:num>
  <w:num w:numId="41">
    <w:abstractNumId w:val="43"/>
  </w:num>
  <w:num w:numId="42">
    <w:abstractNumId w:val="27"/>
  </w:num>
  <w:num w:numId="4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EE5"/>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A416F"/>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2E95"/>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0D92"/>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20AE"/>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D387FA-0637-417C-B97A-C1DA9C43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747A71-D7AD-478E-AC03-E410CA553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3099</Words>
  <Characters>16738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6</cp:revision>
  <cp:lastPrinted>2017-09-26T18:51:00Z</cp:lastPrinted>
  <dcterms:created xsi:type="dcterms:W3CDTF">2018-01-29T16:29:00Z</dcterms:created>
  <dcterms:modified xsi:type="dcterms:W3CDTF">2018-01-30T13:13:00Z</dcterms:modified>
</cp:coreProperties>
</file>