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bookmarkStart w:id="1" w:name="_GoBack"/>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C70D81">
        <w:rPr>
          <w:rFonts w:ascii="Arial" w:hAnsi="Arial" w:cs="Arial"/>
          <w:b/>
          <w:sz w:val="16"/>
          <w:szCs w:val="16"/>
        </w:rPr>
        <w:t>309</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 </w:t>
      </w:r>
      <w:r w:rsidR="00C70D81">
        <w:rPr>
          <w:rFonts w:ascii="Arial" w:hAnsi="Arial" w:cs="Arial"/>
          <w:b/>
          <w:bCs/>
          <w:sz w:val="16"/>
          <w:szCs w:val="16"/>
        </w:rPr>
        <w:t>379</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C70D81">
        <w:rPr>
          <w:rFonts w:ascii="Arial" w:hAnsi="Arial" w:cs="Arial"/>
          <w:b/>
          <w:bCs/>
          <w:sz w:val="16"/>
          <w:szCs w:val="16"/>
        </w:rPr>
        <w:t>01-1712.10903-00/2016</w:t>
      </w:r>
    </w:p>
    <w:p w:rsidR="009D2314" w:rsidRPr="00587C0E" w:rsidRDefault="009D2314" w:rsidP="00F73958">
      <w:pPr>
        <w:pStyle w:val="Cabealho"/>
        <w:jc w:val="both"/>
        <w:rPr>
          <w:rFonts w:ascii="Arial" w:hAnsi="Arial" w:cs="Arial"/>
          <w:b/>
          <w:sz w:val="16"/>
          <w:szCs w:val="16"/>
        </w:rPr>
      </w:pPr>
    </w:p>
    <w:p w:rsidR="009D2314" w:rsidRPr="00227817" w:rsidRDefault="002E300A" w:rsidP="00E11C0B">
      <w:pPr>
        <w:jc w:val="both"/>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0D68D6">
        <w:rPr>
          <w:rFonts w:ascii="Arial" w:hAnsi="Arial" w:cs="Arial"/>
          <w:sz w:val="16"/>
          <w:szCs w:val="16"/>
        </w:rPr>
        <w:t>REGISTRAR O PREÇ</w:t>
      </w:r>
      <w:r w:rsidR="00F17DD3" w:rsidRPr="000D68D6">
        <w:rPr>
          <w:rFonts w:ascii="Arial" w:hAnsi="Arial" w:cs="Arial"/>
          <w:sz w:val="16"/>
          <w:szCs w:val="16"/>
        </w:rPr>
        <w:t>O</w:t>
      </w:r>
      <w:r w:rsidR="00F17DD3" w:rsidRPr="00227817">
        <w:rPr>
          <w:rFonts w:ascii="Arial" w:hAnsi="Arial" w:cs="Arial"/>
          <w:sz w:val="16"/>
          <w:szCs w:val="16"/>
        </w:rPr>
        <w:t xml:space="preserve"> </w:t>
      </w:r>
      <w:r w:rsidR="00A23B36" w:rsidRPr="00A23B36">
        <w:rPr>
          <w:rFonts w:ascii="Arial" w:hAnsi="Arial" w:cs="Arial"/>
          <w:sz w:val="16"/>
          <w:szCs w:val="16"/>
        </w:rPr>
        <w:t xml:space="preserve">Preços para eventual e futura aquisição de equipamentos de proteção individual – EPI’S para atender as necessidades do Complexo Hospitalar Regional de Cacoal - COHREC e Hospital Regional de São Francisco </w:t>
      </w:r>
      <w:r w:rsidR="00045A45">
        <w:rPr>
          <w:rFonts w:ascii="Arial" w:hAnsi="Arial" w:cs="Arial"/>
          <w:sz w:val="16"/>
          <w:szCs w:val="16"/>
        </w:rPr>
        <w:t>–</w:t>
      </w:r>
      <w:r w:rsidR="00A23B36" w:rsidRPr="00A23B36">
        <w:rPr>
          <w:rFonts w:ascii="Arial" w:hAnsi="Arial" w:cs="Arial"/>
          <w:sz w:val="16"/>
          <w:szCs w:val="16"/>
        </w:rPr>
        <w:t xml:space="preserve"> HRSF</w:t>
      </w:r>
      <w:r w:rsidR="00045A45">
        <w:rPr>
          <w:rFonts w:ascii="Arial" w:hAnsi="Arial" w:cs="Arial"/>
          <w:sz w:val="16"/>
          <w:szCs w:val="16"/>
        </w:rPr>
        <w:t>, a pedido da Secretaria de Estado da Saúde - SESAU</w:t>
      </w:r>
      <w:r w:rsidR="00322CAA" w:rsidRPr="000D68D6">
        <w:rPr>
          <w:rFonts w:ascii="Arial" w:hAnsi="Arial" w:cs="Arial"/>
          <w:sz w:val="16"/>
          <w:szCs w:val="16"/>
        </w:rPr>
        <w:t xml:space="preserve"> por um período de 12 meses</w:t>
      </w:r>
      <w:r w:rsidR="00BB111C" w:rsidRPr="000D68D6">
        <w:rPr>
          <w:rFonts w:ascii="Arial" w:hAnsi="Arial" w:cs="Arial"/>
          <w:sz w:val="16"/>
          <w:szCs w:val="16"/>
        </w:rPr>
        <w:t xml:space="preserve"> </w:t>
      </w:r>
      <w:r w:rsidRPr="00227817">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27817">
        <w:rPr>
          <w:rFonts w:ascii="Arial" w:hAnsi="Arial" w:cs="Arial"/>
          <w:sz w:val="16"/>
          <w:szCs w:val="16"/>
        </w:rPr>
        <w:t>8.340/13</w:t>
      </w:r>
      <w:r w:rsidRPr="00227817">
        <w:rPr>
          <w:rFonts w:ascii="Arial" w:hAnsi="Arial" w:cs="Arial"/>
          <w:sz w:val="16"/>
          <w:szCs w:val="16"/>
        </w:rPr>
        <w:t xml:space="preserve"> e suas alterações e em conformidade com as disposições a seguir.</w:t>
      </w:r>
    </w:p>
    <w:p w:rsidR="00261BF2" w:rsidRPr="00227817" w:rsidRDefault="00261BF2" w:rsidP="009D2314">
      <w:pPr>
        <w:jc w:val="both"/>
        <w:rPr>
          <w:rFonts w:ascii="Arial" w:hAnsi="Arial" w:cs="Arial"/>
          <w:b/>
          <w:sz w:val="16"/>
          <w:szCs w:val="16"/>
        </w:rPr>
      </w:pPr>
    </w:p>
    <w:p w:rsidR="009D2314" w:rsidRPr="00227817" w:rsidRDefault="009D2314" w:rsidP="009D2314">
      <w:pPr>
        <w:jc w:val="both"/>
        <w:rPr>
          <w:rFonts w:ascii="Arial" w:hAnsi="Arial" w:cs="Arial"/>
          <w:sz w:val="16"/>
          <w:szCs w:val="16"/>
        </w:rPr>
      </w:pPr>
      <w:r w:rsidRPr="00227817">
        <w:rPr>
          <w:rFonts w:ascii="Arial" w:hAnsi="Arial" w:cs="Arial"/>
          <w:b/>
          <w:bCs/>
          <w:sz w:val="16"/>
          <w:szCs w:val="16"/>
        </w:rPr>
        <w:t>1. DO OBJETO</w:t>
      </w:r>
    </w:p>
    <w:p w:rsidR="009D2314" w:rsidRPr="00227817" w:rsidRDefault="009D2314" w:rsidP="009D2314">
      <w:pPr>
        <w:jc w:val="both"/>
        <w:rPr>
          <w:rFonts w:ascii="Arial" w:hAnsi="Arial" w:cs="Arial"/>
          <w:sz w:val="16"/>
          <w:szCs w:val="16"/>
        </w:rPr>
      </w:pPr>
    </w:p>
    <w:p w:rsidR="00BB111C" w:rsidRPr="00045A45" w:rsidRDefault="002E300A" w:rsidP="00E11C0B">
      <w:pPr>
        <w:jc w:val="both"/>
        <w:rPr>
          <w:rFonts w:ascii="Arial" w:hAnsi="Arial" w:cs="Arial"/>
          <w:sz w:val="16"/>
          <w:szCs w:val="16"/>
        </w:rPr>
      </w:pPr>
      <w:r w:rsidRPr="00227817">
        <w:rPr>
          <w:rFonts w:ascii="Arial" w:hAnsi="Arial" w:cs="Arial"/>
          <w:b/>
          <w:sz w:val="16"/>
          <w:szCs w:val="16"/>
        </w:rPr>
        <w:t>REGISTRAR O PREÇO</w:t>
      </w:r>
      <w:r w:rsidR="00524202" w:rsidRPr="00227817">
        <w:rPr>
          <w:rFonts w:ascii="Arial" w:hAnsi="Arial" w:cs="Arial"/>
          <w:sz w:val="16"/>
          <w:szCs w:val="16"/>
        </w:rPr>
        <w:t xml:space="preserve"> </w:t>
      </w:r>
      <w:r w:rsidR="00A23B36" w:rsidRPr="00045A45">
        <w:rPr>
          <w:rFonts w:ascii="Arial" w:hAnsi="Arial" w:cs="Arial"/>
          <w:sz w:val="16"/>
          <w:szCs w:val="16"/>
        </w:rPr>
        <w:t xml:space="preserve">Preços para eventual e futura aquisição de equipamentos de proteção individual – EPI’S para atender as necessidades do Complexo Hospitalar Regional de Cacoal - COHREC e Hospital Regional de São Francisco – HRSF, </w:t>
      </w:r>
      <w:r w:rsidR="000D68D6" w:rsidRPr="00045A45">
        <w:rPr>
          <w:rFonts w:ascii="Arial" w:hAnsi="Arial" w:cs="Arial"/>
          <w:sz w:val="16"/>
          <w:szCs w:val="16"/>
        </w:rPr>
        <w:t xml:space="preserve">a pedido </w:t>
      </w:r>
      <w:r w:rsidR="00A23B36" w:rsidRPr="00045A45">
        <w:rPr>
          <w:rFonts w:ascii="Arial" w:hAnsi="Arial" w:cs="Arial"/>
          <w:sz w:val="16"/>
          <w:szCs w:val="16"/>
        </w:rPr>
        <w:t xml:space="preserve">da Secretaria de Estado da Saúde - SESAU </w:t>
      </w:r>
      <w:r w:rsidR="00A23B36" w:rsidRPr="00045A45">
        <w:rPr>
          <w:rFonts w:ascii="Arial" w:hAnsi="Arial" w:cs="Arial"/>
          <w:sz w:val="16"/>
          <w:szCs w:val="16"/>
          <w:shd w:val="clear" w:color="auto" w:fill="FFFFFF"/>
        </w:rPr>
        <w:t>po</w:t>
      </w:r>
      <w:r w:rsidR="00322CAA" w:rsidRPr="00045A45">
        <w:rPr>
          <w:rFonts w:ascii="Arial" w:hAnsi="Arial" w:cs="Arial"/>
          <w:sz w:val="16"/>
          <w:szCs w:val="16"/>
          <w:shd w:val="clear" w:color="auto" w:fill="FFFFFF"/>
        </w:rPr>
        <w:t>r um período de 12 meses</w:t>
      </w:r>
      <w:r w:rsidR="00BB111C" w:rsidRPr="00045A45">
        <w:rPr>
          <w:rFonts w:ascii="Arial" w:hAnsi="Arial" w:cs="Arial"/>
          <w:sz w:val="16"/>
          <w:szCs w:val="16"/>
          <w:shd w:val="clear" w:color="auto" w:fill="FFFFFF"/>
        </w:rPr>
        <w:t>.</w:t>
      </w:r>
    </w:p>
    <w:p w:rsidR="00BE024B" w:rsidRPr="00CB5DC6" w:rsidRDefault="00BE024B" w:rsidP="00BB111C">
      <w:pPr>
        <w:pStyle w:val="PargrafodaLista"/>
        <w:tabs>
          <w:tab w:val="left" w:pos="142"/>
          <w:tab w:val="left" w:pos="284"/>
        </w:tabs>
        <w:spacing w:line="276" w:lineRule="auto"/>
        <w:ind w:left="0"/>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C716F0" w:rsidRDefault="007D5A8D" w:rsidP="00C716F0">
      <w:pPr>
        <w:pStyle w:val="PargrafodaLista"/>
        <w:numPr>
          <w:ilvl w:val="0"/>
          <w:numId w:val="1"/>
        </w:numPr>
        <w:spacing w:line="360" w:lineRule="auto"/>
        <w:jc w:val="both"/>
        <w:rPr>
          <w:rFonts w:ascii="Arial" w:hAnsi="Arial" w:cs="Arial"/>
          <w:b/>
          <w:bCs/>
          <w:sz w:val="16"/>
          <w:szCs w:val="16"/>
        </w:rPr>
      </w:pPr>
      <w:r w:rsidRPr="00C716F0">
        <w:rPr>
          <w:rFonts w:ascii="Arial" w:hAnsi="Arial" w:cs="Arial"/>
          <w:b/>
          <w:bCs/>
          <w:sz w:val="16"/>
          <w:szCs w:val="16"/>
        </w:rPr>
        <w:t>DO PRAZO E LOCAL DE ENTREGA</w:t>
      </w:r>
    </w:p>
    <w:p w:rsidR="00C716F0" w:rsidRPr="001E11C1" w:rsidRDefault="00C716F0" w:rsidP="00C716F0">
      <w:pPr>
        <w:pStyle w:val="PargrafodaLista"/>
        <w:numPr>
          <w:ilvl w:val="1"/>
          <w:numId w:val="1"/>
        </w:numPr>
        <w:spacing w:line="360" w:lineRule="auto"/>
        <w:jc w:val="both"/>
        <w:rPr>
          <w:rFonts w:ascii="Arial" w:hAnsi="Arial" w:cs="Arial"/>
          <w:b/>
          <w:bCs/>
          <w:sz w:val="16"/>
          <w:szCs w:val="16"/>
        </w:rPr>
      </w:pPr>
      <w:r w:rsidRPr="001E11C1">
        <w:rPr>
          <w:rFonts w:ascii="Arial" w:hAnsi="Arial" w:cs="Arial"/>
          <w:sz w:val="16"/>
          <w:szCs w:val="16"/>
        </w:rPr>
        <w:t xml:space="preserve">No recebimento e aceitação de qualquer item, objeto desta Ata de Registro de Preços, serão observadas as especificações contidas no instrumento convocatório. </w:t>
      </w:r>
      <w:r w:rsidRPr="001E11C1">
        <w:rPr>
          <w:rFonts w:ascii="Arial" w:hAnsi="Arial" w:cs="Arial"/>
          <w:b/>
          <w:bCs/>
          <w:sz w:val="16"/>
          <w:szCs w:val="16"/>
        </w:rPr>
        <w:t> </w:t>
      </w:r>
    </w:p>
    <w:p w:rsidR="00C716F0" w:rsidRDefault="00C716F0" w:rsidP="00C716F0">
      <w:pPr>
        <w:pStyle w:val="Corpodetexto3"/>
        <w:numPr>
          <w:ilvl w:val="1"/>
          <w:numId w:val="1"/>
        </w:numPr>
        <w:tabs>
          <w:tab w:val="left" w:pos="900"/>
        </w:tabs>
        <w:spacing w:line="360" w:lineRule="auto"/>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45A45" w:rsidRDefault="00045A45" w:rsidP="00045A45">
      <w:pPr>
        <w:pStyle w:val="Corpodetexto3"/>
        <w:tabs>
          <w:tab w:val="left" w:pos="900"/>
        </w:tabs>
        <w:spacing w:line="360" w:lineRule="auto"/>
        <w:ind w:left="360" w:right="47"/>
        <w:rPr>
          <w:rFonts w:ascii="Arial" w:hAnsi="Arial" w:cs="Arial"/>
          <w:sz w:val="16"/>
          <w:szCs w:val="16"/>
        </w:rPr>
      </w:pPr>
    </w:p>
    <w:p w:rsidR="00045A45" w:rsidRPr="00045A45" w:rsidRDefault="00045A45" w:rsidP="00045A45">
      <w:pPr>
        <w:pStyle w:val="Corpodetexto3"/>
        <w:numPr>
          <w:ilvl w:val="1"/>
          <w:numId w:val="1"/>
        </w:numPr>
        <w:tabs>
          <w:tab w:val="left" w:pos="900"/>
        </w:tabs>
        <w:spacing w:line="360" w:lineRule="auto"/>
        <w:ind w:right="47"/>
        <w:rPr>
          <w:rFonts w:ascii="Arial" w:hAnsi="Arial" w:cs="Arial"/>
          <w:sz w:val="16"/>
          <w:szCs w:val="16"/>
        </w:rPr>
      </w:pPr>
      <w:r w:rsidRPr="00045A45">
        <w:rPr>
          <w:rFonts w:ascii="Arial" w:hAnsi="Arial" w:cs="Arial"/>
          <w:sz w:val="16"/>
          <w:szCs w:val="16"/>
        </w:rPr>
        <w:t xml:space="preserve">DO </w:t>
      </w:r>
      <w:r w:rsidRPr="00045A45">
        <w:rPr>
          <w:rFonts w:ascii="Arial" w:hAnsi="Arial" w:cs="Arial"/>
          <w:b/>
          <w:bCs/>
          <w:sz w:val="16"/>
          <w:szCs w:val="16"/>
        </w:rPr>
        <w:t xml:space="preserve">PRAZOS DE ENTREGA: </w:t>
      </w:r>
      <w:r w:rsidRPr="00045A45">
        <w:rPr>
          <w:rFonts w:ascii="Arial" w:hAnsi="Arial" w:cs="Arial"/>
          <w:bCs/>
          <w:sz w:val="16"/>
          <w:szCs w:val="16"/>
        </w:rPr>
        <w:t xml:space="preserve">A entrega deverá ocorrer </w:t>
      </w:r>
      <w:r w:rsidRPr="00045A45">
        <w:rPr>
          <w:rFonts w:ascii="Arial" w:hAnsi="Arial" w:cs="Arial"/>
          <w:b/>
          <w:bCs/>
          <w:sz w:val="16"/>
          <w:szCs w:val="16"/>
        </w:rPr>
        <w:t>conforme solicitação via requisição da Gerência de Almoxarifado com definição da quantidade</w:t>
      </w:r>
      <w:r w:rsidRPr="00045A45">
        <w:rPr>
          <w:rFonts w:ascii="Arial" w:hAnsi="Arial" w:cs="Arial"/>
          <w:bCs/>
          <w:sz w:val="16"/>
          <w:szCs w:val="16"/>
        </w:rPr>
        <w:t>,</w:t>
      </w:r>
      <w:r w:rsidRPr="00045A45">
        <w:rPr>
          <w:rFonts w:ascii="Arial" w:hAnsi="Arial" w:cs="Arial"/>
          <w:b/>
          <w:bCs/>
          <w:sz w:val="16"/>
          <w:szCs w:val="16"/>
        </w:rPr>
        <w:t xml:space="preserve"> </w:t>
      </w:r>
      <w:r w:rsidRPr="00045A45">
        <w:rPr>
          <w:rFonts w:ascii="Arial" w:hAnsi="Arial" w:cs="Arial"/>
          <w:bCs/>
          <w:sz w:val="16"/>
          <w:szCs w:val="16"/>
        </w:rPr>
        <w:t>no prazo de até 30 (trinta) dias corridos, após emissão da Nota de Empenho.</w:t>
      </w:r>
    </w:p>
    <w:p w:rsidR="00045A45" w:rsidRPr="00045A45" w:rsidRDefault="00045A45" w:rsidP="00045A45">
      <w:pPr>
        <w:pStyle w:val="Corpodetexto3"/>
        <w:tabs>
          <w:tab w:val="left" w:pos="900"/>
        </w:tabs>
        <w:spacing w:line="360" w:lineRule="auto"/>
        <w:ind w:left="360" w:right="47"/>
        <w:rPr>
          <w:rFonts w:ascii="Arial" w:hAnsi="Arial" w:cs="Arial"/>
          <w:sz w:val="16"/>
          <w:szCs w:val="16"/>
        </w:rPr>
      </w:pPr>
    </w:p>
    <w:p w:rsidR="00045A45" w:rsidRPr="00045A45" w:rsidRDefault="00045A45" w:rsidP="00045A45">
      <w:pPr>
        <w:pStyle w:val="Corpodetexto3"/>
        <w:numPr>
          <w:ilvl w:val="1"/>
          <w:numId w:val="1"/>
        </w:numPr>
        <w:tabs>
          <w:tab w:val="left" w:pos="900"/>
        </w:tabs>
        <w:spacing w:line="360" w:lineRule="auto"/>
        <w:ind w:right="47"/>
        <w:rPr>
          <w:rFonts w:ascii="Arial" w:hAnsi="Arial" w:cs="Arial"/>
          <w:sz w:val="16"/>
          <w:szCs w:val="16"/>
        </w:rPr>
      </w:pPr>
      <w:r w:rsidRPr="00045A45">
        <w:rPr>
          <w:rFonts w:ascii="Arial" w:hAnsi="Arial" w:cs="Arial"/>
          <w:b/>
          <w:sz w:val="16"/>
          <w:szCs w:val="16"/>
        </w:rPr>
        <w:t xml:space="preserve">LOCAL/ HORÁRIOS: </w:t>
      </w:r>
      <w:r w:rsidRPr="00045A45">
        <w:rPr>
          <w:rFonts w:ascii="Arial" w:hAnsi="Arial" w:cs="Arial"/>
          <w:bCs/>
          <w:sz w:val="16"/>
          <w:szCs w:val="16"/>
        </w:rPr>
        <w:t>Os materiais deverão ser entregues no Almoxarifado Central/SESAU, Avenida Rio Madeira, 603, Bairro Lagoa – Porto Velho/RO. Funcionamento de segunda a sexta-feira das 7h30min às 13h30min.</w:t>
      </w:r>
    </w:p>
    <w:p w:rsidR="00617019" w:rsidRPr="00617019" w:rsidRDefault="00617019" w:rsidP="00617019">
      <w:pPr>
        <w:pStyle w:val="Corpodetexto3"/>
        <w:tabs>
          <w:tab w:val="left" w:pos="900"/>
        </w:tabs>
        <w:spacing w:line="360" w:lineRule="auto"/>
        <w:ind w:left="360" w:right="47"/>
        <w:rPr>
          <w:rFonts w:ascii="Arial" w:hAnsi="Arial" w:cs="Arial"/>
          <w:sz w:val="16"/>
          <w:szCs w:val="16"/>
        </w:rPr>
      </w:pPr>
    </w:p>
    <w:p w:rsidR="009D2314" w:rsidRPr="00BB111C" w:rsidRDefault="007A61C6" w:rsidP="009F2CD8">
      <w:pPr>
        <w:pStyle w:val="PargrafodaLista"/>
        <w:numPr>
          <w:ilvl w:val="0"/>
          <w:numId w:val="3"/>
        </w:numPr>
        <w:jc w:val="both"/>
        <w:rPr>
          <w:rFonts w:ascii="Arial" w:hAnsi="Arial" w:cs="Arial"/>
          <w:b/>
          <w:bCs/>
          <w:sz w:val="16"/>
          <w:szCs w:val="16"/>
        </w:rPr>
      </w:pPr>
      <w:r w:rsidRPr="00BB111C">
        <w:rPr>
          <w:rFonts w:ascii="Arial" w:hAnsi="Arial" w:cs="Arial"/>
          <w:b/>
          <w:bCs/>
          <w:sz w:val="16"/>
          <w:szCs w:val="16"/>
        </w:rPr>
        <w:t>D</w:t>
      </w:r>
      <w:r w:rsidR="009D2314" w:rsidRPr="00BB111C">
        <w:rPr>
          <w:rFonts w:ascii="Arial" w:hAnsi="Arial" w:cs="Arial"/>
          <w:b/>
          <w:bCs/>
          <w:sz w:val="16"/>
          <w:szCs w:val="16"/>
        </w:rPr>
        <w:t xml:space="preserve">AS CONDIÇÕES DE PAGAMENTO </w:t>
      </w:r>
      <w:r w:rsidR="00ED6824" w:rsidRPr="00BB111C">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617019" w:rsidRDefault="00CF05DA" w:rsidP="00617019">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617019" w:rsidRDefault="00617019" w:rsidP="00617019">
      <w:pPr>
        <w:pStyle w:val="Cabealho"/>
        <w:tabs>
          <w:tab w:val="right" w:pos="709"/>
        </w:tabs>
        <w:spacing w:line="276" w:lineRule="auto"/>
        <w:ind w:left="360"/>
        <w:jc w:val="both"/>
        <w:rPr>
          <w:rFonts w:ascii="Arial" w:hAnsi="Arial" w:cs="Arial"/>
          <w:b/>
          <w:snapToGrid w:val="0"/>
          <w:sz w:val="16"/>
          <w:szCs w:val="16"/>
        </w:rPr>
      </w:pPr>
    </w:p>
    <w:p w:rsidR="00617019" w:rsidRPr="00617019" w:rsidRDefault="00617019" w:rsidP="00617019">
      <w:pPr>
        <w:pStyle w:val="Cabealho"/>
        <w:numPr>
          <w:ilvl w:val="1"/>
          <w:numId w:val="4"/>
        </w:numPr>
        <w:tabs>
          <w:tab w:val="right" w:pos="709"/>
        </w:tabs>
        <w:spacing w:line="360" w:lineRule="auto"/>
        <w:jc w:val="both"/>
        <w:rPr>
          <w:rFonts w:ascii="Arial" w:hAnsi="Arial" w:cs="Arial"/>
          <w:b/>
          <w:snapToGrid w:val="0"/>
          <w:sz w:val="16"/>
          <w:szCs w:val="16"/>
        </w:rPr>
      </w:pPr>
      <w:r w:rsidRPr="00617019">
        <w:rPr>
          <w:rFonts w:ascii="Arial" w:hAnsi="Arial" w:cs="Arial"/>
          <w:color w:val="000000"/>
          <w:sz w:val="16"/>
          <w:szCs w:val="16"/>
        </w:rPr>
        <w:t>Cobrança pelo Estado, por via administrativa ou judicial, de multa equivalente a 1% (um por cento) do valor estimado pelo item ofertado.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 xml:space="preserve"> 9</w:t>
      </w:r>
      <w:r w:rsidRPr="00617019">
        <w:rPr>
          <w:rFonts w:ascii="Arial" w:hAnsi="Arial" w:cs="Arial"/>
          <w:color w:val="000000"/>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.3.1. Advertência, sempre que for constatada irregularidade de pouca gravidade, para as quais tenha a Contratada concorrida diretamente, ocorrência que será registrada no Cadastro de Fornecedores do Estado de Rondônia;</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 xml:space="preserve">.3.2. Multa de 0,2% (dois décimos por cento) ao dia, por atraso no fornecimento e por </w:t>
      </w:r>
      <w:proofErr w:type="gramStart"/>
      <w:r w:rsidRPr="00617019">
        <w:rPr>
          <w:rFonts w:ascii="Arial" w:hAnsi="Arial" w:cs="Arial"/>
          <w:color w:val="000000"/>
          <w:sz w:val="16"/>
          <w:szCs w:val="16"/>
        </w:rPr>
        <w:t>entrega  em</w:t>
      </w:r>
      <w:proofErr w:type="gramEnd"/>
      <w:r w:rsidRPr="00617019">
        <w:rPr>
          <w:rFonts w:ascii="Arial" w:hAnsi="Arial" w:cs="Arial"/>
          <w:color w:val="000000"/>
          <w:sz w:val="16"/>
          <w:szCs w:val="16"/>
        </w:rPr>
        <w:t xml:space="preserve"> desacordo com as especificações estabelecidas neste Edital, até o décimo dia corrido;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.3.3. Multa de 10% (dez por cento), na hipótese de inexecução parcial ou total de cada Nota de Empenho, calculada sobre o valor total da inadimplência ou na hipótese do não cumprimento de qualquer das obrigações assumidas;</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.4. As multas serão, após regular processo administrativo, descontadas dos créditos da empresa detentora da Ata ou, se for o caso, cobrada administrativa ou judicialmente.</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 xml:space="preserve">.5. As penalidades previstas neste item têm caráter de sanção administrativa, </w:t>
      </w:r>
      <w:proofErr w:type="spellStart"/>
      <w:r w:rsidRPr="00617019">
        <w:rPr>
          <w:rFonts w:ascii="Arial" w:hAnsi="Arial" w:cs="Arial"/>
          <w:color w:val="000000"/>
          <w:sz w:val="16"/>
          <w:szCs w:val="16"/>
        </w:rPr>
        <w:t>conseqüentemente</w:t>
      </w:r>
      <w:proofErr w:type="spellEnd"/>
      <w:r w:rsidRPr="00617019">
        <w:rPr>
          <w:rFonts w:ascii="Arial" w:hAnsi="Arial" w:cs="Arial"/>
          <w:color w:val="000000"/>
          <w:sz w:val="16"/>
          <w:szCs w:val="16"/>
        </w:rPr>
        <w:t xml:space="preserve">, a sua aplicação não exime a empresa detentora da Ata da reparação das eventuais perdas e danos que seu ato venha acarretar ao Estado de Rondônia. </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.6. As penalidades são independentes e a aplicação de uma não exclui a das demais, quando cabíveis.</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.8. Desclassificação, se a seleção se encontrar em fase de julgamento;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.9. Cancelamento do preço registrado, procedendo-se à paralisação do fornecimento.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 O preço registrado poderá ser cancelado pela Administração Pública, nos termos do Artigo 24 e 25 do Decreto 18.340/13, quando: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.10.1. A Detentora do Registro deixar de cumprir total ou parcial as condições da Ata de Registro de Preços.</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 xml:space="preserve">.10.2. A Detentora do Registro não retirar a nota de empenho </w:t>
      </w:r>
      <w:proofErr w:type="gramStart"/>
      <w:r w:rsidRPr="00617019">
        <w:rPr>
          <w:rFonts w:ascii="Arial" w:hAnsi="Arial" w:cs="Arial"/>
          <w:color w:val="000000"/>
          <w:sz w:val="16"/>
          <w:szCs w:val="16"/>
        </w:rPr>
        <w:t>ou  instrumento</w:t>
      </w:r>
      <w:proofErr w:type="gramEnd"/>
      <w:r w:rsidRPr="00617019">
        <w:rPr>
          <w:rFonts w:ascii="Arial" w:hAnsi="Arial" w:cs="Arial"/>
          <w:color w:val="000000"/>
          <w:sz w:val="16"/>
          <w:szCs w:val="16"/>
        </w:rPr>
        <w:t xml:space="preserve"> equivalente no prazo estabelecido, sem justificativa aceita pela Administração;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.10.3. A detentora incorrer reiteradamente em infrações previstas no Edital;</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.10.4. A Detentora do Registro que praticar atos fraudulentos no intuito de auferir vantagem ilícita;</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 xml:space="preserve">.10.5. Não aceitar reduzir o seu preço registrado, na hipótese deste se tornar superior aqueles praticados no mercador ou sofrer sanção prevista nos incisos III ou IV do </w:t>
      </w:r>
      <w:proofErr w:type="gramStart"/>
      <w:r w:rsidRPr="00617019">
        <w:rPr>
          <w:rFonts w:ascii="Arial" w:hAnsi="Arial" w:cs="Arial"/>
          <w:color w:val="000000"/>
          <w:sz w:val="16"/>
          <w:szCs w:val="16"/>
        </w:rPr>
        <w:t>caput  do</w:t>
      </w:r>
      <w:proofErr w:type="gramEnd"/>
      <w:r w:rsidRPr="00617019">
        <w:rPr>
          <w:rFonts w:ascii="Arial" w:hAnsi="Arial" w:cs="Arial"/>
          <w:color w:val="000000"/>
          <w:sz w:val="16"/>
          <w:szCs w:val="16"/>
        </w:rPr>
        <w:t xml:space="preserve"> artigo 87 da Lei 8.666/93 ou no artigo 7º da Lei 10.520/02.</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.10.6.  Por razões de interesse público, mediante despacho motivado, devidamente justificado.</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.10.7.  O cancelamento do registro nas hipóteses nos sub itens 8.10.1, 8.10.2, 8.10.5 será formalizado por despacho do órgão gerenciador, assegurado o contraditório e a ampla defesa.</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.10.8.  O cancelamento do registro nas hipóteses dos sub itens 8.10.1 e 8.10.2 acarretará ainda a aplicação das penalidades cabíveis, assegurado o contraditório e a ampla defesa.</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.10.9.  O cancelamento do registro de preços poderá ocorrer por fato superveniente, decorrente de caso fortuito ou força maior, que prejudique o cumprimento da ata, devidamente comprovados e justificados:</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.10.9.1 Por razões de interesse público ou</w:t>
      </w:r>
    </w:p>
    <w:p w:rsidR="00617019" w:rsidRDefault="00617019" w:rsidP="00617019">
      <w:pPr>
        <w:pStyle w:val="Cabealho"/>
        <w:tabs>
          <w:tab w:val="right" w:pos="709"/>
        </w:tabs>
        <w:spacing w:line="360" w:lineRule="auto"/>
        <w:jc w:val="both"/>
        <w:rPr>
          <w:rFonts w:ascii="Arial" w:hAnsi="Arial" w:cs="Arial"/>
          <w:color w:val="000000"/>
          <w:sz w:val="16"/>
          <w:szCs w:val="16"/>
        </w:rPr>
      </w:pPr>
      <w:r>
        <w:rPr>
          <w:rFonts w:ascii="Arial" w:hAnsi="Arial" w:cs="Arial"/>
          <w:color w:val="000000"/>
          <w:sz w:val="16"/>
          <w:szCs w:val="16"/>
        </w:rPr>
        <w:t>9</w:t>
      </w:r>
      <w:r w:rsidRPr="00617019">
        <w:rPr>
          <w:rFonts w:ascii="Arial" w:hAnsi="Arial" w:cs="Arial"/>
          <w:color w:val="000000"/>
          <w:sz w:val="16"/>
          <w:szCs w:val="16"/>
        </w:rPr>
        <w:t>.10.9.2 A pedido do fornecedor.</w:t>
      </w:r>
    </w:p>
    <w:p w:rsidR="00617019" w:rsidRPr="00617019" w:rsidRDefault="00617019" w:rsidP="00617019">
      <w:pPr>
        <w:pStyle w:val="Cabealho"/>
        <w:tabs>
          <w:tab w:val="right" w:pos="709"/>
        </w:tabs>
        <w:spacing w:line="360" w:lineRule="auto"/>
        <w:jc w:val="both"/>
        <w:rPr>
          <w:rFonts w:ascii="Arial" w:hAnsi="Arial" w:cs="Arial"/>
          <w:color w:val="000000"/>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617019"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Pr>
          <w:rFonts w:ascii="Arial" w:hAnsi="Arial" w:cs="Arial"/>
          <w:b/>
          <w:sz w:val="16"/>
          <w:szCs w:val="16"/>
        </w:rPr>
        <w:t xml:space="preserve">SESAU - </w:t>
      </w:r>
      <w:r w:rsidRPr="00617019">
        <w:rPr>
          <w:rFonts w:ascii="Arial" w:hAnsi="Arial" w:cs="Arial"/>
          <w:b/>
          <w:sz w:val="16"/>
          <w:szCs w:val="16"/>
        </w:rPr>
        <w:t>Secretaria de Estado da Saúde</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w:t>
      </w:r>
      <w:r w:rsidR="00A34807">
        <w:rPr>
          <w:rFonts w:ascii="Arial" w:hAnsi="Arial" w:cs="Arial"/>
          <w:b/>
          <w:bCs/>
          <w:sz w:val="16"/>
          <w:szCs w:val="16"/>
        </w:rPr>
        <w:t>SUELEN DA SILVA ROTTES</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r w:rsidR="00A34807">
        <w:rPr>
          <w:rFonts w:ascii="Arial" w:hAnsi="Arial" w:cs="Arial"/>
          <w:bCs/>
          <w:sz w:val="16"/>
          <w:szCs w:val="16"/>
        </w:rPr>
        <w:t xml:space="preserve"> Interina</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bookmarkEnd w:id="1"/>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99409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52659C5"/>
    <w:multiLevelType w:val="multilevel"/>
    <w:tmpl w:val="934C6F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6">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3"/>
  </w:num>
  <w:num w:numId="3">
    <w:abstractNumId w:val="9"/>
  </w:num>
  <w:num w:numId="4">
    <w:abstractNumId w:val="8"/>
  </w:num>
  <w:num w:numId="5">
    <w:abstractNumId w:val="22"/>
  </w:num>
  <w:num w:numId="6">
    <w:abstractNumId w:val="35"/>
  </w:num>
  <w:num w:numId="7">
    <w:abstractNumId w:val="11"/>
  </w:num>
  <w:num w:numId="8">
    <w:abstractNumId w:val="29"/>
  </w:num>
  <w:num w:numId="9">
    <w:abstractNumId w:val="3"/>
  </w:num>
  <w:num w:numId="10">
    <w:abstractNumId w:val="15"/>
  </w:num>
  <w:num w:numId="11">
    <w:abstractNumId w:val="20"/>
  </w:num>
  <w:num w:numId="12">
    <w:abstractNumId w:val="41"/>
  </w:num>
  <w:num w:numId="13">
    <w:abstractNumId w:val="38"/>
  </w:num>
  <w:num w:numId="14">
    <w:abstractNumId w:val="34"/>
  </w:num>
  <w:num w:numId="15">
    <w:abstractNumId w:val="47"/>
  </w:num>
  <w:num w:numId="16">
    <w:abstractNumId w:val="26"/>
  </w:num>
  <w:num w:numId="17">
    <w:abstractNumId w:val="37"/>
  </w:num>
  <w:num w:numId="18">
    <w:abstractNumId w:val="4"/>
  </w:num>
  <w:num w:numId="19">
    <w:abstractNumId w:val="17"/>
  </w:num>
  <w:num w:numId="20">
    <w:abstractNumId w:val="39"/>
  </w:num>
  <w:num w:numId="21">
    <w:abstractNumId w:val="43"/>
  </w:num>
  <w:num w:numId="22">
    <w:abstractNumId w:val="13"/>
  </w:num>
  <w:num w:numId="23">
    <w:abstractNumId w:val="6"/>
  </w:num>
  <w:num w:numId="24">
    <w:abstractNumId w:val="16"/>
  </w:num>
  <w:num w:numId="25">
    <w:abstractNumId w:val="32"/>
  </w:num>
  <w:num w:numId="26">
    <w:abstractNumId w:val="44"/>
  </w:num>
  <w:num w:numId="27">
    <w:abstractNumId w:val="21"/>
  </w:num>
  <w:num w:numId="28">
    <w:abstractNumId w:val="30"/>
  </w:num>
  <w:num w:numId="29">
    <w:abstractNumId w:val="12"/>
  </w:num>
  <w:num w:numId="30">
    <w:abstractNumId w:val="28"/>
  </w:num>
  <w:num w:numId="31">
    <w:abstractNumId w:val="27"/>
  </w:num>
  <w:num w:numId="32">
    <w:abstractNumId w:val="45"/>
  </w:num>
  <w:num w:numId="33">
    <w:abstractNumId w:val="19"/>
  </w:num>
  <w:num w:numId="34">
    <w:abstractNumId w:val="14"/>
  </w:num>
  <w:num w:numId="35">
    <w:abstractNumId w:val="31"/>
  </w:num>
  <w:num w:numId="36">
    <w:abstractNumId w:val="42"/>
  </w:num>
  <w:num w:numId="37">
    <w:abstractNumId w:val="7"/>
  </w:num>
  <w:num w:numId="38">
    <w:abstractNumId w:val="18"/>
  </w:num>
  <w:num w:numId="39">
    <w:abstractNumId w:val="36"/>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0"/>
    <w:lvlOverride w:ilvl="0">
      <w:startOverride w:val="5"/>
    </w:lvlOverride>
  </w:num>
  <w:num w:numId="45">
    <w:abstractNumId w:val="46"/>
    <w:lvlOverride w:ilvl="0">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5A45"/>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D68D6"/>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CAA"/>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558C"/>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17019"/>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15AC"/>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23B36"/>
    <w:rsid w:val="00A30C5B"/>
    <w:rsid w:val="00A30C71"/>
    <w:rsid w:val="00A323F8"/>
    <w:rsid w:val="00A34807"/>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111C"/>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0D81"/>
    <w:rsid w:val="00C716F0"/>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1C0B"/>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7CF93-3745-4D0D-9CC1-315012DB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2554</Words>
  <Characters>14345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4</cp:revision>
  <cp:lastPrinted>2017-12-28T16:08:00Z</cp:lastPrinted>
  <dcterms:created xsi:type="dcterms:W3CDTF">2017-12-28T16:13:00Z</dcterms:created>
  <dcterms:modified xsi:type="dcterms:W3CDTF">2017-12-28T17:10:00Z</dcterms:modified>
</cp:coreProperties>
</file>