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F010ED">
        <w:rPr>
          <w:rFonts w:ascii="Arial" w:hAnsi="Arial" w:cs="Arial"/>
          <w:b/>
          <w:sz w:val="16"/>
          <w:szCs w:val="16"/>
        </w:rPr>
        <w:t>28</w:t>
      </w:r>
      <w:r w:rsidR="00657244">
        <w:rPr>
          <w:rFonts w:ascii="Arial" w:hAnsi="Arial" w:cs="Arial"/>
          <w:b/>
          <w:sz w:val="16"/>
          <w:szCs w:val="16"/>
        </w:rPr>
        <w:t>7</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57244">
        <w:rPr>
          <w:rFonts w:ascii="Arial" w:hAnsi="Arial" w:cs="Arial"/>
          <w:b/>
          <w:bCs/>
          <w:sz w:val="16"/>
          <w:szCs w:val="16"/>
        </w:rPr>
        <w:t xml:space="preserve"> Nº 361/2017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021611">
        <w:rPr>
          <w:rFonts w:ascii="Arial" w:hAnsi="Arial" w:cs="Arial"/>
          <w:b/>
          <w:bCs/>
          <w:sz w:val="16"/>
          <w:szCs w:val="16"/>
        </w:rPr>
        <w:t>01</w:t>
      </w:r>
      <w:r w:rsidR="00EF0A9A">
        <w:rPr>
          <w:rFonts w:ascii="Arial" w:hAnsi="Arial" w:cs="Arial"/>
          <w:b/>
          <w:bCs/>
          <w:sz w:val="16"/>
          <w:szCs w:val="16"/>
        </w:rPr>
        <w:t>-</w:t>
      </w:r>
      <w:r w:rsidR="00021611">
        <w:rPr>
          <w:rFonts w:ascii="Arial" w:hAnsi="Arial" w:cs="Arial"/>
          <w:b/>
          <w:bCs/>
          <w:sz w:val="16"/>
          <w:szCs w:val="16"/>
        </w:rPr>
        <w:t>1712.</w:t>
      </w:r>
      <w:r w:rsidR="006F0595">
        <w:rPr>
          <w:rFonts w:ascii="Arial" w:hAnsi="Arial" w:cs="Arial"/>
          <w:b/>
          <w:bCs/>
          <w:sz w:val="16"/>
          <w:szCs w:val="16"/>
        </w:rPr>
        <w:t>0</w:t>
      </w:r>
      <w:r w:rsidR="00657244">
        <w:rPr>
          <w:rFonts w:ascii="Arial" w:hAnsi="Arial" w:cs="Arial"/>
          <w:b/>
          <w:bCs/>
          <w:sz w:val="16"/>
          <w:szCs w:val="16"/>
        </w:rPr>
        <w:t>3954-00/2016</w:t>
      </w:r>
    </w:p>
    <w:p w:rsidR="009D2314" w:rsidRPr="00587C0E" w:rsidRDefault="009D2314" w:rsidP="00F73958">
      <w:pPr>
        <w:pStyle w:val="Cabealho"/>
        <w:jc w:val="both"/>
        <w:rPr>
          <w:rFonts w:ascii="Arial" w:hAnsi="Arial" w:cs="Arial"/>
          <w:b/>
          <w:sz w:val="16"/>
          <w:szCs w:val="16"/>
        </w:rPr>
      </w:pPr>
    </w:p>
    <w:p w:rsidR="009D2314" w:rsidRPr="00EE2F13" w:rsidRDefault="002E300A" w:rsidP="00DF042C">
      <w:pPr>
        <w:jc w:val="both"/>
        <w:rPr>
          <w:rFonts w:ascii="Arial" w:hAnsi="Arial" w:cs="Arial"/>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EE2F13">
        <w:rPr>
          <w:rFonts w:ascii="Arial" w:hAnsi="Arial" w:cs="Arial"/>
          <w:sz w:val="16"/>
          <w:szCs w:val="16"/>
        </w:rPr>
        <w:t>FARQUAR N° 2986 COMPLEXO RIO MADEIRA EDIFÍCIO</w:t>
      </w:r>
      <w:r w:rsidR="00624815" w:rsidRPr="00EE2F13">
        <w:rPr>
          <w:rFonts w:ascii="Arial" w:hAnsi="Arial" w:cs="Arial"/>
          <w:sz w:val="16"/>
          <w:szCs w:val="16"/>
        </w:rPr>
        <w:t xml:space="preserve">, </w:t>
      </w:r>
      <w:r w:rsidRPr="00EE2F13">
        <w:rPr>
          <w:rFonts w:ascii="Arial" w:hAnsi="Arial" w:cs="Arial"/>
          <w:sz w:val="16"/>
          <w:szCs w:val="16"/>
        </w:rPr>
        <w:t xml:space="preserve">RIO </w:t>
      </w:r>
      <w:r w:rsidR="00DE2D9B" w:rsidRPr="00EE2F13">
        <w:rPr>
          <w:rFonts w:ascii="Arial" w:hAnsi="Arial" w:cs="Arial"/>
          <w:sz w:val="16"/>
          <w:szCs w:val="16"/>
        </w:rPr>
        <w:t>PACAÁS NOVOS 2</w:t>
      </w:r>
      <w:r w:rsidRPr="00EE2F13">
        <w:rPr>
          <w:rFonts w:ascii="Arial" w:hAnsi="Arial" w:cs="Arial"/>
          <w:sz w:val="16"/>
          <w:szCs w:val="16"/>
        </w:rPr>
        <w:t xml:space="preserve">º ANDAR – BAIRRO: PEDRINHAS, neste ato representado pelo </w:t>
      </w:r>
      <w:r w:rsidRPr="00EE2F13">
        <w:rPr>
          <w:rFonts w:ascii="Arial" w:hAnsi="Arial" w:cs="Arial"/>
          <w:b/>
          <w:bCs/>
          <w:sz w:val="16"/>
          <w:szCs w:val="16"/>
        </w:rPr>
        <w:t>Superintendente da SUPEL</w:t>
      </w:r>
      <w:r w:rsidRPr="00EE2F13">
        <w:rPr>
          <w:rFonts w:ascii="Arial" w:hAnsi="Arial" w:cs="Arial"/>
          <w:sz w:val="16"/>
          <w:szCs w:val="16"/>
        </w:rPr>
        <w:t>, Senhor Márcio Rogério Gabriel e a(s) empresa(s) qualificada(s) no</w:t>
      </w:r>
      <w:r w:rsidR="00190648" w:rsidRPr="00EE2F13">
        <w:rPr>
          <w:rFonts w:ascii="Arial" w:hAnsi="Arial" w:cs="Arial"/>
          <w:sz w:val="16"/>
          <w:szCs w:val="16"/>
        </w:rPr>
        <w:t xml:space="preserve"> Anexo Único desta Ata, resolvem</w:t>
      </w:r>
      <w:r w:rsidRPr="00EE2F13">
        <w:rPr>
          <w:rFonts w:ascii="Arial" w:hAnsi="Arial" w:cs="Arial"/>
          <w:sz w:val="16"/>
          <w:szCs w:val="16"/>
        </w:rPr>
        <w:t xml:space="preserve"> </w:t>
      </w:r>
      <w:r w:rsidRPr="00EF0A9A">
        <w:rPr>
          <w:rFonts w:ascii="Arial" w:hAnsi="Arial" w:cs="Arial"/>
          <w:b/>
          <w:sz w:val="16"/>
          <w:szCs w:val="16"/>
        </w:rPr>
        <w:t>REGISTRAR O PREÇ</w:t>
      </w:r>
      <w:r w:rsidR="00F17DD3" w:rsidRPr="00EF0A9A">
        <w:rPr>
          <w:rFonts w:ascii="Arial" w:hAnsi="Arial" w:cs="Arial"/>
          <w:b/>
          <w:sz w:val="16"/>
          <w:szCs w:val="16"/>
        </w:rPr>
        <w:t>O</w:t>
      </w:r>
      <w:r w:rsidR="00A212A5" w:rsidRPr="00EF0A9A">
        <w:rPr>
          <w:rFonts w:ascii="Arial" w:hAnsi="Arial" w:cs="Arial"/>
          <w:b/>
          <w:sz w:val="16"/>
          <w:szCs w:val="16"/>
        </w:rPr>
        <w:t>:</w:t>
      </w:r>
      <w:r w:rsidR="00A212A5" w:rsidRPr="00EE2F13">
        <w:rPr>
          <w:rFonts w:ascii="Arial" w:hAnsi="Arial" w:cs="Arial"/>
          <w:sz w:val="16"/>
          <w:szCs w:val="16"/>
        </w:rPr>
        <w:t xml:space="preserve"> </w:t>
      </w:r>
      <w:r w:rsidR="00EF0A9A" w:rsidRPr="00EF0A9A">
        <w:rPr>
          <w:rFonts w:ascii="Arial" w:hAnsi="Arial" w:cs="Arial"/>
          <w:sz w:val="16"/>
          <w:szCs w:val="16"/>
        </w:rPr>
        <w:t xml:space="preserve">para eventual e futura aquisição de Caixas para cirurgias de: </w:t>
      </w:r>
      <w:proofErr w:type="spellStart"/>
      <w:r w:rsidR="00EF0A9A" w:rsidRPr="00EF0A9A">
        <w:rPr>
          <w:rFonts w:ascii="Arial" w:hAnsi="Arial" w:cs="Arial"/>
          <w:sz w:val="16"/>
          <w:szCs w:val="16"/>
        </w:rPr>
        <w:t>Amigdaletomia</w:t>
      </w:r>
      <w:proofErr w:type="spellEnd"/>
      <w:r w:rsidR="00EF0A9A" w:rsidRPr="00EF0A9A">
        <w:rPr>
          <w:rFonts w:ascii="Arial" w:hAnsi="Arial" w:cs="Arial"/>
          <w:sz w:val="16"/>
          <w:szCs w:val="16"/>
        </w:rPr>
        <w:t xml:space="preserve">, </w:t>
      </w:r>
      <w:proofErr w:type="spellStart"/>
      <w:r w:rsidR="00EF0A9A" w:rsidRPr="00EF0A9A">
        <w:rPr>
          <w:rFonts w:ascii="Arial" w:hAnsi="Arial" w:cs="Arial"/>
          <w:sz w:val="16"/>
          <w:szCs w:val="16"/>
        </w:rPr>
        <w:t>Rinoseptoplastia</w:t>
      </w:r>
      <w:proofErr w:type="spellEnd"/>
      <w:r w:rsidR="00EF0A9A" w:rsidRPr="00EF0A9A">
        <w:rPr>
          <w:rFonts w:ascii="Arial" w:hAnsi="Arial" w:cs="Arial"/>
          <w:sz w:val="16"/>
          <w:szCs w:val="16"/>
        </w:rPr>
        <w:t xml:space="preserve">, </w:t>
      </w:r>
      <w:proofErr w:type="spellStart"/>
      <w:r w:rsidR="00EF0A9A" w:rsidRPr="00EF0A9A">
        <w:rPr>
          <w:rFonts w:ascii="Arial" w:hAnsi="Arial" w:cs="Arial"/>
          <w:sz w:val="16"/>
          <w:szCs w:val="16"/>
        </w:rPr>
        <w:t>Septoplastia</w:t>
      </w:r>
      <w:proofErr w:type="spellEnd"/>
      <w:r w:rsidR="00EF0A9A" w:rsidRPr="00EF0A9A">
        <w:rPr>
          <w:rFonts w:ascii="Arial" w:hAnsi="Arial" w:cs="Arial"/>
          <w:sz w:val="16"/>
          <w:szCs w:val="16"/>
        </w:rPr>
        <w:t xml:space="preserve">, </w:t>
      </w:r>
      <w:proofErr w:type="spellStart"/>
      <w:r w:rsidR="00EF0A9A" w:rsidRPr="00EF0A9A">
        <w:rPr>
          <w:rFonts w:ascii="Arial" w:hAnsi="Arial" w:cs="Arial"/>
          <w:sz w:val="16"/>
          <w:szCs w:val="16"/>
        </w:rPr>
        <w:t>Timpanomastóidectomia</w:t>
      </w:r>
      <w:proofErr w:type="spellEnd"/>
      <w:r w:rsidR="00EF0A9A" w:rsidRPr="00EF0A9A">
        <w:rPr>
          <w:rFonts w:ascii="Arial" w:hAnsi="Arial" w:cs="Arial"/>
          <w:sz w:val="16"/>
          <w:szCs w:val="16"/>
        </w:rPr>
        <w:t xml:space="preserve">; Maleta para </w:t>
      </w:r>
      <w:proofErr w:type="spellStart"/>
      <w:r w:rsidR="00EF0A9A" w:rsidRPr="00EF0A9A">
        <w:rPr>
          <w:rFonts w:ascii="Arial" w:hAnsi="Arial" w:cs="Arial"/>
          <w:sz w:val="16"/>
          <w:szCs w:val="16"/>
        </w:rPr>
        <w:t>Micro-Laringe</w:t>
      </w:r>
      <w:proofErr w:type="spellEnd"/>
      <w:r w:rsidR="00EF0A9A" w:rsidRPr="00EF0A9A">
        <w:rPr>
          <w:rFonts w:ascii="Arial" w:hAnsi="Arial" w:cs="Arial"/>
          <w:sz w:val="16"/>
          <w:szCs w:val="16"/>
        </w:rPr>
        <w:t xml:space="preserve"> e Kit de material para ambulatório, para atender ao HBAP e POC, a pedido da Secretaria de Estado da Saúde</w:t>
      </w:r>
      <w:r w:rsidR="00EE2F13" w:rsidRPr="00DD3316">
        <w:rPr>
          <w:rFonts w:ascii="Arial" w:hAnsi="Arial" w:cs="Arial"/>
          <w:sz w:val="16"/>
          <w:szCs w:val="16"/>
        </w:rPr>
        <w:t xml:space="preserve">, </w:t>
      </w:r>
      <w:r w:rsidR="00EE2F13" w:rsidRPr="00EE2F13">
        <w:rPr>
          <w:rFonts w:ascii="Arial" w:hAnsi="Arial" w:cs="Arial"/>
          <w:sz w:val="16"/>
          <w:szCs w:val="16"/>
        </w:rPr>
        <w:t>por um período de 12 (doze) meses, a pedido da Secretaria de Estado da Saúde – SESAU-RO</w:t>
      </w:r>
      <w:r w:rsidR="00A212A5" w:rsidRPr="00EE2F13">
        <w:rPr>
          <w:rFonts w:ascii="Arial" w:hAnsi="Arial" w:cs="Arial"/>
          <w:sz w:val="16"/>
          <w:szCs w:val="16"/>
        </w:rPr>
        <w:t xml:space="preserve">, conforme especificação completa no Termo de Referência – Anexo I deste Edital </w:t>
      </w:r>
      <w:r w:rsidRPr="00EE2F13">
        <w:rPr>
          <w:rFonts w:ascii="Arial" w:hAnsi="Arial" w:cs="Arial"/>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EE2F13">
        <w:rPr>
          <w:rFonts w:ascii="Arial" w:hAnsi="Arial" w:cs="Arial"/>
          <w:sz w:val="16"/>
          <w:szCs w:val="16"/>
        </w:rPr>
        <w:t>8.340/13</w:t>
      </w:r>
      <w:r w:rsidRPr="00EE2F13">
        <w:rPr>
          <w:rFonts w:ascii="Arial" w:hAnsi="Arial" w:cs="Arial"/>
          <w:sz w:val="16"/>
          <w:szCs w:val="16"/>
        </w:rPr>
        <w:t xml:space="preserve"> e suas alterações e em conformidade com as disposições a seguir.</w:t>
      </w:r>
    </w:p>
    <w:p w:rsidR="009D2314" w:rsidRPr="00EE2F13" w:rsidRDefault="009D2314" w:rsidP="008A7686">
      <w:pPr>
        <w:rPr>
          <w:rFonts w:ascii="Arial" w:hAnsi="Arial" w:cs="Arial"/>
          <w:sz w:val="16"/>
          <w:szCs w:val="16"/>
        </w:rPr>
      </w:pPr>
    </w:p>
    <w:p w:rsidR="009D2314" w:rsidRPr="00EF0A9A" w:rsidRDefault="009D2314" w:rsidP="009D2314">
      <w:pPr>
        <w:jc w:val="both"/>
        <w:rPr>
          <w:rFonts w:ascii="Arial" w:hAnsi="Arial" w:cs="Arial"/>
          <w:b/>
          <w:sz w:val="16"/>
          <w:szCs w:val="16"/>
        </w:rPr>
      </w:pPr>
      <w:r w:rsidRPr="00EF0A9A">
        <w:rPr>
          <w:rFonts w:ascii="Arial" w:hAnsi="Arial" w:cs="Arial"/>
          <w:b/>
          <w:sz w:val="16"/>
          <w:szCs w:val="16"/>
        </w:rPr>
        <w:t>1. DO OBJETO</w:t>
      </w:r>
    </w:p>
    <w:p w:rsidR="009D2314" w:rsidRPr="00EE2F13" w:rsidRDefault="009D2314" w:rsidP="009D2314">
      <w:pPr>
        <w:jc w:val="both"/>
        <w:rPr>
          <w:rFonts w:ascii="Arial" w:hAnsi="Arial" w:cs="Arial"/>
          <w:sz w:val="16"/>
          <w:szCs w:val="16"/>
        </w:rPr>
      </w:pPr>
    </w:p>
    <w:p w:rsidR="00CF6980" w:rsidRPr="00EF0A9A" w:rsidRDefault="002E300A" w:rsidP="008C7613">
      <w:pPr>
        <w:jc w:val="both"/>
        <w:rPr>
          <w:rFonts w:ascii="Arial" w:hAnsi="Arial" w:cs="Arial"/>
          <w:sz w:val="16"/>
          <w:szCs w:val="16"/>
        </w:rPr>
      </w:pPr>
      <w:r w:rsidRPr="00EF0A9A">
        <w:rPr>
          <w:rFonts w:ascii="Arial" w:hAnsi="Arial" w:cs="Arial"/>
          <w:b/>
          <w:sz w:val="16"/>
          <w:szCs w:val="16"/>
        </w:rPr>
        <w:t>REGISTRAR O PREÇO</w:t>
      </w:r>
      <w:r w:rsidR="00524202" w:rsidRPr="00EE2F13">
        <w:rPr>
          <w:rFonts w:ascii="Arial" w:hAnsi="Arial" w:cs="Arial"/>
          <w:sz w:val="16"/>
          <w:szCs w:val="16"/>
        </w:rPr>
        <w:t xml:space="preserve"> </w:t>
      </w:r>
      <w:r w:rsidR="00EF0A9A" w:rsidRPr="00EF0A9A">
        <w:rPr>
          <w:rFonts w:ascii="Arial" w:hAnsi="Arial" w:cs="Arial"/>
          <w:sz w:val="16"/>
          <w:szCs w:val="16"/>
        </w:rPr>
        <w:t xml:space="preserve">para eventual e futura aquisição de Caixas para cirurgias de: </w:t>
      </w:r>
      <w:proofErr w:type="spellStart"/>
      <w:r w:rsidR="00EF0A9A" w:rsidRPr="00EF0A9A">
        <w:rPr>
          <w:rFonts w:ascii="Arial" w:hAnsi="Arial" w:cs="Arial"/>
          <w:sz w:val="16"/>
          <w:szCs w:val="16"/>
        </w:rPr>
        <w:t>Amigdaletomia</w:t>
      </w:r>
      <w:proofErr w:type="spellEnd"/>
      <w:r w:rsidR="00EF0A9A" w:rsidRPr="00EF0A9A">
        <w:rPr>
          <w:rFonts w:ascii="Arial" w:hAnsi="Arial" w:cs="Arial"/>
          <w:sz w:val="16"/>
          <w:szCs w:val="16"/>
        </w:rPr>
        <w:t xml:space="preserve">, </w:t>
      </w:r>
      <w:proofErr w:type="spellStart"/>
      <w:r w:rsidR="00EF0A9A" w:rsidRPr="00EF0A9A">
        <w:rPr>
          <w:rFonts w:ascii="Arial" w:hAnsi="Arial" w:cs="Arial"/>
          <w:sz w:val="16"/>
          <w:szCs w:val="16"/>
        </w:rPr>
        <w:t>Rinoseptoplastia</w:t>
      </w:r>
      <w:proofErr w:type="spellEnd"/>
      <w:r w:rsidR="00EF0A9A" w:rsidRPr="00EF0A9A">
        <w:rPr>
          <w:rFonts w:ascii="Arial" w:hAnsi="Arial" w:cs="Arial"/>
          <w:sz w:val="16"/>
          <w:szCs w:val="16"/>
        </w:rPr>
        <w:t xml:space="preserve">, </w:t>
      </w:r>
      <w:proofErr w:type="spellStart"/>
      <w:r w:rsidR="00EF0A9A" w:rsidRPr="00EF0A9A">
        <w:rPr>
          <w:rFonts w:ascii="Arial" w:hAnsi="Arial" w:cs="Arial"/>
          <w:sz w:val="16"/>
          <w:szCs w:val="16"/>
        </w:rPr>
        <w:t>Septoplastia</w:t>
      </w:r>
      <w:proofErr w:type="spellEnd"/>
      <w:r w:rsidR="00EF0A9A" w:rsidRPr="00EF0A9A">
        <w:rPr>
          <w:rFonts w:ascii="Arial" w:hAnsi="Arial" w:cs="Arial"/>
          <w:sz w:val="16"/>
          <w:szCs w:val="16"/>
        </w:rPr>
        <w:t xml:space="preserve">, </w:t>
      </w:r>
      <w:proofErr w:type="spellStart"/>
      <w:r w:rsidR="00EF0A9A" w:rsidRPr="00EF0A9A">
        <w:rPr>
          <w:rFonts w:ascii="Arial" w:hAnsi="Arial" w:cs="Arial"/>
          <w:sz w:val="16"/>
          <w:szCs w:val="16"/>
        </w:rPr>
        <w:t>Timpanomastóidectomia</w:t>
      </w:r>
      <w:proofErr w:type="spellEnd"/>
      <w:r w:rsidR="00EF0A9A" w:rsidRPr="00EF0A9A">
        <w:rPr>
          <w:rFonts w:ascii="Arial" w:hAnsi="Arial" w:cs="Arial"/>
          <w:sz w:val="16"/>
          <w:szCs w:val="16"/>
        </w:rPr>
        <w:t xml:space="preserve">; Maleta para </w:t>
      </w:r>
      <w:proofErr w:type="spellStart"/>
      <w:r w:rsidR="00EF0A9A" w:rsidRPr="00EF0A9A">
        <w:rPr>
          <w:rFonts w:ascii="Arial" w:hAnsi="Arial" w:cs="Arial"/>
          <w:sz w:val="16"/>
          <w:szCs w:val="16"/>
        </w:rPr>
        <w:t>Micro-Laringe</w:t>
      </w:r>
      <w:proofErr w:type="spellEnd"/>
      <w:r w:rsidR="00EF0A9A" w:rsidRPr="00EF0A9A">
        <w:rPr>
          <w:rFonts w:ascii="Arial" w:hAnsi="Arial" w:cs="Arial"/>
          <w:sz w:val="16"/>
          <w:szCs w:val="16"/>
        </w:rPr>
        <w:t xml:space="preserve"> e Kit de material para ambulatório, para atender ao HBAP e POC, a pedido da Secretaria de Estado da Saúde</w:t>
      </w:r>
      <w:r w:rsidR="00EE2F13" w:rsidRPr="00DD3316">
        <w:rPr>
          <w:rFonts w:ascii="Arial" w:hAnsi="Arial" w:cs="Arial"/>
          <w:sz w:val="16"/>
          <w:szCs w:val="16"/>
        </w:rPr>
        <w:t xml:space="preserve">, </w:t>
      </w:r>
      <w:r w:rsidR="00EE2F13" w:rsidRPr="00EE2F13">
        <w:rPr>
          <w:rFonts w:ascii="Arial" w:hAnsi="Arial" w:cs="Arial"/>
          <w:sz w:val="16"/>
          <w:szCs w:val="16"/>
        </w:rPr>
        <w:t>por um período de 12 (doze) meses, a pedido da Secretaria de Estado da Saúde – SESAU-RO</w:t>
      </w:r>
      <w:r w:rsidR="009F78DE" w:rsidRPr="00EF0A9A">
        <w:rPr>
          <w:rFonts w:ascii="Arial" w:hAnsi="Arial" w:cs="Arial"/>
          <w:sz w:val="16"/>
          <w:szCs w:val="16"/>
        </w:rPr>
        <w:t>.</w:t>
      </w:r>
    </w:p>
    <w:p w:rsidR="00CF6980" w:rsidRPr="00EE2F13" w:rsidRDefault="00CF6980" w:rsidP="008C7613">
      <w:pPr>
        <w:jc w:val="both"/>
        <w:rPr>
          <w:rFonts w:ascii="Arial" w:hAnsi="Arial" w:cs="Arial"/>
          <w:b/>
          <w:bCs/>
          <w:sz w:val="16"/>
          <w:szCs w:val="16"/>
        </w:rPr>
      </w:pPr>
    </w:p>
    <w:p w:rsidR="009D2314" w:rsidRPr="00EE2F13" w:rsidRDefault="009D2314" w:rsidP="008C7613">
      <w:pPr>
        <w:jc w:val="both"/>
        <w:rPr>
          <w:rFonts w:ascii="Arial" w:hAnsi="Arial" w:cs="Arial"/>
          <w:b/>
          <w:bCs/>
          <w:sz w:val="16"/>
          <w:szCs w:val="16"/>
        </w:rPr>
      </w:pPr>
      <w:r w:rsidRPr="00EE2F13">
        <w:rPr>
          <w:rFonts w:ascii="Arial" w:hAnsi="Arial" w:cs="Arial"/>
          <w:b/>
          <w:bCs/>
          <w:sz w:val="16"/>
          <w:szCs w:val="16"/>
        </w:rPr>
        <w:t>2. DA VIGÊNCIA</w:t>
      </w:r>
    </w:p>
    <w:p w:rsidR="009D2314" w:rsidRPr="00EE2F13"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F01CFE" w:rsidRDefault="00A14D66" w:rsidP="006B04DB">
      <w:pPr>
        <w:spacing w:line="360" w:lineRule="auto"/>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2069DE" w:rsidRDefault="006B04DB" w:rsidP="00160F40">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160F40" w:rsidRPr="00160F40" w:rsidRDefault="00160F40" w:rsidP="00EF0A9A">
      <w:pPr>
        <w:pStyle w:val="Corpodetexto3"/>
        <w:tabs>
          <w:tab w:val="left" w:pos="900"/>
        </w:tabs>
        <w:ind w:right="47"/>
        <w:rPr>
          <w:rFonts w:ascii="Arial" w:hAnsi="Arial" w:cs="Arial"/>
          <w:sz w:val="16"/>
          <w:szCs w:val="16"/>
        </w:rPr>
      </w:pPr>
    </w:p>
    <w:p w:rsidR="006B04DB" w:rsidRPr="00A27F38" w:rsidRDefault="006B04DB" w:rsidP="00160F40">
      <w:pPr>
        <w:pStyle w:val="Corpodetexto3"/>
        <w:tabs>
          <w:tab w:val="left" w:pos="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70"/>
        <w:gridCol w:w="10873"/>
      </w:tblGrid>
      <w:tr w:rsidR="006B04DB" w:rsidRPr="00160F40" w:rsidTr="00DE77D2">
        <w:trPr>
          <w:gridBefore w:val="1"/>
          <w:wBefore w:w="32" w:type="pct"/>
        </w:trPr>
        <w:tc>
          <w:tcPr>
            <w:tcW w:w="4968" w:type="pct"/>
            <w:tcBorders>
              <w:top w:val="nil"/>
              <w:left w:val="nil"/>
              <w:bottom w:val="nil"/>
              <w:right w:val="nil"/>
            </w:tcBorders>
          </w:tcPr>
          <w:p w:rsidR="00657244" w:rsidRDefault="00CF6980" w:rsidP="00EF0A9A">
            <w:pPr>
              <w:pStyle w:val="Corpodetexto3"/>
              <w:numPr>
                <w:ilvl w:val="1"/>
                <w:numId w:val="2"/>
              </w:numPr>
              <w:tabs>
                <w:tab w:val="clear" w:pos="360"/>
                <w:tab w:val="num" w:pos="2"/>
                <w:tab w:val="left" w:pos="286"/>
              </w:tabs>
              <w:ind w:left="0" w:right="47" w:firstLine="0"/>
              <w:rPr>
                <w:rFonts w:ascii="Arial" w:hAnsi="Arial" w:cs="Arial"/>
                <w:sz w:val="16"/>
                <w:szCs w:val="16"/>
              </w:rPr>
            </w:pPr>
            <w:r w:rsidRPr="00EF0A9A">
              <w:rPr>
                <w:rFonts w:ascii="Arial" w:hAnsi="Arial" w:cs="Arial"/>
                <w:b/>
                <w:sz w:val="16"/>
                <w:szCs w:val="16"/>
              </w:rPr>
              <w:t>DO PRAZO DE ENTREGA</w:t>
            </w:r>
            <w:r w:rsidR="00214276" w:rsidRPr="00EF0A9A">
              <w:rPr>
                <w:rFonts w:ascii="Arial" w:hAnsi="Arial" w:cs="Arial"/>
                <w:b/>
                <w:sz w:val="16"/>
                <w:szCs w:val="16"/>
              </w:rPr>
              <w:t>:</w:t>
            </w:r>
            <w:r w:rsidR="00C80898" w:rsidRPr="00160F40">
              <w:rPr>
                <w:rFonts w:ascii="Arial" w:hAnsi="Arial" w:cs="Arial"/>
                <w:sz w:val="16"/>
                <w:szCs w:val="16"/>
              </w:rPr>
              <w:t xml:space="preserve"> </w:t>
            </w:r>
            <w:r w:rsidR="00160F40" w:rsidRPr="00160F40">
              <w:rPr>
                <w:rFonts w:ascii="Arial" w:hAnsi="Arial" w:cs="Arial"/>
                <w:sz w:val="16"/>
                <w:szCs w:val="16"/>
              </w:rPr>
              <w:t>A entrega deverá ocorrer conforme solicitação via requisição da Secretaria de Saúde com definição da quantidade no prazo de até 30 (trinta) dias após o recebimento da Nota de Empenho.</w:t>
            </w:r>
          </w:p>
          <w:p w:rsidR="00160F40" w:rsidRPr="00657244" w:rsidRDefault="00160F40" w:rsidP="00EF0A9A">
            <w:pPr>
              <w:pStyle w:val="Corpodetexto3"/>
              <w:tabs>
                <w:tab w:val="left" w:pos="900"/>
              </w:tabs>
              <w:ind w:left="360" w:right="47"/>
              <w:rPr>
                <w:rFonts w:ascii="Arial" w:hAnsi="Arial" w:cs="Arial"/>
                <w:sz w:val="16"/>
                <w:szCs w:val="16"/>
              </w:rPr>
            </w:pPr>
          </w:p>
          <w:p w:rsidR="00EF0A9A" w:rsidRDefault="004A1B6C" w:rsidP="00EF0A9A">
            <w:pPr>
              <w:pStyle w:val="Corpodetexto3"/>
              <w:numPr>
                <w:ilvl w:val="1"/>
                <w:numId w:val="2"/>
              </w:numPr>
              <w:tabs>
                <w:tab w:val="clear" w:pos="360"/>
                <w:tab w:val="num" w:pos="144"/>
                <w:tab w:val="left" w:pos="286"/>
              </w:tabs>
              <w:ind w:left="2" w:right="47" w:hanging="2"/>
              <w:rPr>
                <w:rFonts w:ascii="Arial" w:hAnsi="Arial" w:cs="Arial"/>
                <w:sz w:val="16"/>
                <w:szCs w:val="16"/>
              </w:rPr>
            </w:pPr>
            <w:r w:rsidRPr="00160F40">
              <w:rPr>
                <w:rFonts w:ascii="Arial" w:hAnsi="Arial" w:cs="Arial"/>
                <w:sz w:val="16"/>
                <w:szCs w:val="16"/>
              </w:rPr>
              <w:t xml:space="preserve"> </w:t>
            </w:r>
            <w:r w:rsidR="00EF0A9A" w:rsidRPr="00EF0A9A">
              <w:rPr>
                <w:rFonts w:ascii="Arial" w:hAnsi="Arial" w:cs="Arial"/>
                <w:b/>
                <w:sz w:val="16"/>
                <w:szCs w:val="16"/>
              </w:rPr>
              <w:t xml:space="preserve">DO </w:t>
            </w:r>
            <w:r w:rsidR="00A27F38" w:rsidRPr="00EF0A9A">
              <w:rPr>
                <w:rFonts w:ascii="Arial" w:hAnsi="Arial" w:cs="Arial"/>
                <w:b/>
                <w:sz w:val="16"/>
                <w:szCs w:val="16"/>
              </w:rPr>
              <w:t xml:space="preserve">LOCAL DE ENTREGA: </w:t>
            </w:r>
            <w:r w:rsidR="00EF0A9A" w:rsidRPr="00EF0A9A">
              <w:rPr>
                <w:rFonts w:ascii="Arial" w:hAnsi="Arial" w:cs="Arial"/>
                <w:sz w:val="16"/>
                <w:szCs w:val="16"/>
              </w:rPr>
              <w:t>Os materiais permanente deverão ser entregues no Almoxarifado Central: Av. Rio Madeira, 603 - Bairro Lagoa – Fone (69) 3216-5475 - Porto Velho/RO. Os dias de funcionamento são de segunda a sexta – feira, sendo de 07h30min às 13h30min, onde será entregue conforme necessidade e solicitação de cada Setor Administrativo dos Hospitais.</w:t>
            </w:r>
          </w:p>
          <w:p w:rsidR="00EF0A9A" w:rsidRDefault="00EF0A9A" w:rsidP="00EF0A9A">
            <w:pPr>
              <w:pStyle w:val="PargrafodaLista"/>
              <w:jc w:val="both"/>
              <w:rPr>
                <w:rFonts w:ascii="Arial" w:hAnsi="Arial" w:cs="Arial"/>
                <w:sz w:val="16"/>
                <w:szCs w:val="16"/>
              </w:rPr>
            </w:pPr>
          </w:p>
          <w:p w:rsidR="00EF0A9A" w:rsidRPr="00EF0A9A" w:rsidRDefault="00EF0A9A" w:rsidP="00EF0A9A">
            <w:pPr>
              <w:pStyle w:val="Corpodetexto3"/>
              <w:numPr>
                <w:ilvl w:val="2"/>
                <w:numId w:val="2"/>
              </w:numPr>
              <w:tabs>
                <w:tab w:val="clear" w:pos="720"/>
                <w:tab w:val="num" w:pos="286"/>
                <w:tab w:val="left" w:pos="569"/>
              </w:tabs>
              <w:ind w:left="2" w:right="47" w:hanging="2"/>
              <w:rPr>
                <w:rFonts w:ascii="Arial" w:hAnsi="Arial" w:cs="Arial"/>
                <w:sz w:val="16"/>
                <w:szCs w:val="16"/>
              </w:rPr>
            </w:pPr>
            <w:r w:rsidRPr="00EF0A9A">
              <w:rPr>
                <w:rFonts w:ascii="Arial" w:hAnsi="Arial" w:cs="Arial"/>
                <w:sz w:val="16"/>
                <w:szCs w:val="16"/>
              </w:rPr>
              <w:t xml:space="preserve">Os materiais de consumo deverão ser entregues na Central de Abastecimento Farmacêutico - CAF II: Rua: Aparício de Morais nº. </w:t>
            </w:r>
            <w:proofErr w:type="gramStart"/>
            <w:r w:rsidRPr="00EF0A9A">
              <w:rPr>
                <w:rFonts w:ascii="Arial" w:hAnsi="Arial" w:cs="Arial"/>
                <w:sz w:val="16"/>
                <w:szCs w:val="16"/>
              </w:rPr>
              <w:t>4378  Bairro</w:t>
            </w:r>
            <w:proofErr w:type="gramEnd"/>
            <w:r w:rsidRPr="00EF0A9A">
              <w:rPr>
                <w:rFonts w:ascii="Arial" w:hAnsi="Arial" w:cs="Arial"/>
                <w:sz w:val="16"/>
                <w:szCs w:val="16"/>
              </w:rPr>
              <w:t xml:space="preserve"> - Setor Industrial – Fone (69) 3216-5759 - Porto Velho/RO. Os dias de funcionamento são de segunda a sexta – feira, sendo de 07h30min às 13h30min, onde será entregue conforme necessidade e solicitação de cada Setor Administrativo dos Hospitais.</w:t>
            </w:r>
          </w:p>
          <w:p w:rsidR="00A27F38" w:rsidRPr="00160F40" w:rsidRDefault="00A27F38" w:rsidP="00EF0A9A">
            <w:pPr>
              <w:pStyle w:val="Corpodetexto3"/>
              <w:tabs>
                <w:tab w:val="left" w:pos="900"/>
              </w:tabs>
              <w:ind w:left="360" w:right="47"/>
              <w:rPr>
                <w:rFonts w:ascii="Arial" w:hAnsi="Arial" w:cs="Arial"/>
                <w:sz w:val="16"/>
                <w:szCs w:val="16"/>
              </w:rPr>
            </w:pPr>
          </w:p>
        </w:tc>
      </w:tr>
      <w:tr w:rsidR="006B04DB" w:rsidRPr="009F78DE" w:rsidTr="00DE77D2">
        <w:tc>
          <w:tcPr>
            <w:tcW w:w="5000" w:type="pct"/>
            <w:gridSpan w:val="2"/>
            <w:tcBorders>
              <w:top w:val="nil"/>
              <w:left w:val="nil"/>
              <w:bottom w:val="nil"/>
              <w:right w:val="nil"/>
            </w:tcBorders>
          </w:tcPr>
          <w:p w:rsidR="00125D50" w:rsidRPr="00125D50" w:rsidRDefault="00125D50" w:rsidP="00A27F38">
            <w:pPr>
              <w:pStyle w:val="PargrafodaLista"/>
              <w:tabs>
                <w:tab w:val="left" w:pos="0"/>
                <w:tab w:val="left" w:pos="567"/>
              </w:tabs>
              <w:ind w:left="0"/>
              <w:rPr>
                <w:sz w:val="22"/>
                <w:szCs w:val="22"/>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Pr="00903F42" w:rsidRDefault="00A41308" w:rsidP="00A41308">
      <w:pPr>
        <w:pStyle w:val="PargrafodaLista"/>
        <w:tabs>
          <w:tab w:val="left" w:pos="993"/>
          <w:tab w:val="left" w:pos="1276"/>
        </w:tabs>
        <w:ind w:left="360"/>
        <w:jc w:val="both"/>
        <w:rPr>
          <w:rFonts w:ascii="Arial" w:hAnsi="Arial" w:cs="Arial"/>
          <w:b/>
          <w:bCs/>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xml:space="preserve">, com as informações que motivaram sua rejeição, contando-se o prazo estabelecido no subitem 6.2. </w:t>
      </w:r>
      <w:proofErr w:type="gramStart"/>
      <w:r w:rsidRPr="00903F42">
        <w:rPr>
          <w:rFonts w:ascii="Arial" w:hAnsi="Arial" w:cs="Arial"/>
          <w:sz w:val="16"/>
          <w:szCs w:val="16"/>
        </w:rPr>
        <w:t>a</w:t>
      </w:r>
      <w:proofErr w:type="gramEnd"/>
      <w:r w:rsidRPr="00903F42">
        <w:rPr>
          <w:rFonts w:ascii="Arial" w:hAnsi="Arial" w:cs="Arial"/>
          <w:sz w:val="16"/>
          <w:szCs w:val="16"/>
        </w:rPr>
        <w:t xml:space="preserve">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9D2314" w:rsidRDefault="009D2314" w:rsidP="009D2314">
      <w:pPr>
        <w:pStyle w:val="Corpodetexto2"/>
        <w:ind w:right="-1" w:firstLine="0"/>
        <w:rPr>
          <w:sz w:val="16"/>
          <w:szCs w:val="16"/>
        </w:rPr>
      </w:pPr>
    </w:p>
    <w:p w:rsidR="009F78DE" w:rsidRPr="00903F42" w:rsidRDefault="009F78DE" w:rsidP="009D2314">
      <w:pPr>
        <w:pStyle w:val="Corpodetexto2"/>
        <w:ind w:right="-1" w:firstLine="0"/>
        <w:rPr>
          <w:sz w:val="16"/>
          <w:szCs w:val="16"/>
        </w:rPr>
      </w:pPr>
    </w:p>
    <w:p w:rsidR="009D2314" w:rsidRDefault="009D2314" w:rsidP="002069DE">
      <w:pPr>
        <w:pStyle w:val="Lista2"/>
        <w:numPr>
          <w:ilvl w:val="0"/>
          <w:numId w:val="4"/>
        </w:numPr>
        <w:jc w:val="both"/>
        <w:rPr>
          <w:b/>
          <w:bCs/>
          <w:sz w:val="16"/>
          <w:szCs w:val="16"/>
        </w:rPr>
      </w:pPr>
      <w:r w:rsidRPr="00903F42">
        <w:rPr>
          <w:b/>
          <w:bCs/>
          <w:sz w:val="16"/>
          <w:szCs w:val="16"/>
        </w:rPr>
        <w:t xml:space="preserve">DAS SANÇÕES </w:t>
      </w:r>
    </w:p>
    <w:p w:rsidR="002069DE" w:rsidRDefault="002069DE" w:rsidP="002069DE">
      <w:pPr>
        <w:pStyle w:val="Lista2"/>
        <w:ind w:left="360" w:firstLine="0"/>
        <w:jc w:val="both"/>
        <w:rPr>
          <w:b/>
          <w:bCs/>
          <w:sz w:val="16"/>
          <w:szCs w:val="16"/>
        </w:rPr>
      </w:pP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Sem prejuízo das sanções cominadas no art. 87, I, III e IV, da Lei nº 8.666/93, multa de 10% (dez por cento), sobre a parcela inadimplida.</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São exemplos de infração administrativa penalizáveis, nos termos da Lei nº 8.666, de 1993, da Lei nº 10.520, de 2002, do Decreto nº 3.555, de 2000, e do Decreto nº 5.450, de 2005:</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Inexecução total ou parcial do contrato;</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Apresentação de documentação falsa;</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Comportamento inidôneo;</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Fraude fiscal;</w:t>
      </w:r>
    </w:p>
    <w:p w:rsidR="00657244" w:rsidRPr="00EF0A9A" w:rsidRDefault="00657244" w:rsidP="00EF0A9A">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Descumprimento de qualquer dos deveres elencados no Edital ou no Contrato.</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657244" w:rsidRDefault="00657244" w:rsidP="00657244">
      <w:pPr>
        <w:pStyle w:val="PargrafodaLista"/>
        <w:suppressAutoHyphens/>
        <w:spacing w:line="100" w:lineRule="atLeast"/>
        <w:ind w:left="360" w:right="47"/>
        <w:jc w:val="both"/>
        <w:rPr>
          <w:rFonts w:ascii="Arial" w:hAnsi="Arial" w:cs="Arial"/>
          <w:sz w:val="16"/>
          <w:szCs w:val="16"/>
        </w:rPr>
      </w:pPr>
    </w:p>
    <w:p w:rsidR="00657244" w:rsidRDefault="00657244" w:rsidP="00657244">
      <w:pPr>
        <w:pStyle w:val="PargrafodaLista"/>
        <w:suppressAutoHyphens/>
        <w:spacing w:line="100" w:lineRule="atLeast"/>
        <w:ind w:left="360" w:right="47"/>
        <w:jc w:val="both"/>
        <w:rPr>
          <w:rFonts w:ascii="Arial" w:hAnsi="Arial" w:cs="Arial"/>
          <w:sz w:val="16"/>
          <w:szCs w:val="16"/>
        </w:rPr>
      </w:pPr>
    </w:p>
    <w:p w:rsidR="00657244" w:rsidRPr="00066339" w:rsidRDefault="00657244" w:rsidP="00657244">
      <w:pPr>
        <w:tabs>
          <w:tab w:val="left" w:pos="567"/>
        </w:tabs>
        <w:jc w:val="both"/>
        <w:rPr>
          <w:sz w:val="22"/>
          <w:szCs w:val="22"/>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
        <w:gridCol w:w="7148"/>
        <w:gridCol w:w="1034"/>
        <w:gridCol w:w="1802"/>
      </w:tblGrid>
      <w:tr w:rsidR="00657244" w:rsidRPr="00657244" w:rsidTr="003313E2">
        <w:trPr>
          <w:jc w:val="right"/>
        </w:trPr>
        <w:tc>
          <w:tcPr>
            <w:tcW w:w="434" w:type="pct"/>
            <w:shd w:val="clear" w:color="auto" w:fill="FDE9D9"/>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ITEM</w:t>
            </w:r>
          </w:p>
        </w:tc>
        <w:tc>
          <w:tcPr>
            <w:tcW w:w="3269" w:type="pct"/>
            <w:shd w:val="clear" w:color="auto" w:fill="FDE9D9"/>
            <w:vAlign w:val="center"/>
          </w:tcPr>
          <w:p w:rsidR="00657244" w:rsidRPr="00657244" w:rsidRDefault="00657244" w:rsidP="003313E2">
            <w:pPr>
              <w:autoSpaceDE w:val="0"/>
              <w:autoSpaceDN w:val="0"/>
              <w:adjustRightInd w:val="0"/>
              <w:ind w:left="115" w:hanging="115"/>
              <w:jc w:val="center"/>
              <w:rPr>
                <w:rFonts w:ascii="Arial" w:hAnsi="Arial" w:cs="Arial"/>
                <w:sz w:val="16"/>
                <w:szCs w:val="16"/>
              </w:rPr>
            </w:pPr>
            <w:r w:rsidRPr="00657244">
              <w:rPr>
                <w:rFonts w:ascii="Arial" w:hAnsi="Arial" w:cs="Arial"/>
                <w:sz w:val="16"/>
                <w:szCs w:val="16"/>
              </w:rPr>
              <w:t>DESCRIÇÃO DA INFRAÇÃO</w:t>
            </w:r>
          </w:p>
        </w:tc>
        <w:tc>
          <w:tcPr>
            <w:tcW w:w="473" w:type="pct"/>
            <w:shd w:val="clear" w:color="auto" w:fill="FDE9D9"/>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GRAU</w:t>
            </w:r>
          </w:p>
        </w:tc>
        <w:tc>
          <w:tcPr>
            <w:tcW w:w="824" w:type="pct"/>
            <w:shd w:val="clear" w:color="auto" w:fill="FDE9D9"/>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MULTA*</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 xml:space="preserve">Permitir situação que crie a possibilidade ou cause </w:t>
            </w:r>
            <w:proofErr w:type="spellStart"/>
            <w:r w:rsidRPr="00657244">
              <w:rPr>
                <w:rFonts w:ascii="Arial" w:hAnsi="Arial" w:cs="Arial"/>
                <w:sz w:val="16"/>
                <w:szCs w:val="16"/>
              </w:rPr>
              <w:t>dano</w:t>
            </w:r>
            <w:proofErr w:type="spellEnd"/>
            <w:r w:rsidRPr="00657244">
              <w:rPr>
                <w:rFonts w:ascii="Arial" w:hAnsi="Arial" w:cs="Arial"/>
                <w:sz w:val="16"/>
                <w:szCs w:val="16"/>
              </w:rPr>
              <w:t xml:space="preserve"> físico, lesão corporal ou consequências letais;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06</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4,0% por dia</w:t>
            </w:r>
          </w:p>
        </w:tc>
      </w:tr>
      <w:tr w:rsidR="00657244" w:rsidRPr="00657244" w:rsidTr="003313E2">
        <w:trPr>
          <w:trHeight w:val="600"/>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Usar indevidamente informações sigilosas a que teve acesso;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06</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4,0% por dia</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 xml:space="preserve">Suspender ou interromper, salvo por motivo de força maior ou caso fortuito, a entrega dos materiais, por cada solicitação(NE). </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05</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3,2% por dia</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Destruir ou danificar documentos por culpa ou dolo de seus agentes;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05</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3,2% por dia</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Entregar os materiais incompletos ou deixar de providenciar recomposição complementar;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02</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0,4% por dia</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Fornecer informação pérfida referente a entrega dos materiais,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02</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0,4% por dia</w:t>
            </w:r>
          </w:p>
        </w:tc>
      </w:tr>
      <w:tr w:rsidR="00657244" w:rsidRPr="00657244" w:rsidTr="003313E2">
        <w:trPr>
          <w:jc w:val="right"/>
        </w:trPr>
        <w:tc>
          <w:tcPr>
            <w:tcW w:w="5000" w:type="pct"/>
            <w:gridSpan w:val="4"/>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Para os itens a seguir, deixar de:</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Efetuar o pagamento de seguros, encargos fiscais e sociais, assim como quaisquer despesas diretas e/ou indiretas relacionadas à entrega dos materiais; por dia e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05</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3,2% por dia</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proofErr w:type="gramStart"/>
            <w:r w:rsidRPr="00657244">
              <w:rPr>
                <w:rFonts w:ascii="Arial" w:hAnsi="Arial" w:cs="Arial"/>
                <w:sz w:val="16"/>
                <w:szCs w:val="16"/>
              </w:rPr>
              <w:t>Cumprir  prazo</w:t>
            </w:r>
            <w:proofErr w:type="gramEnd"/>
            <w:r w:rsidRPr="00657244">
              <w:rPr>
                <w:rFonts w:ascii="Arial" w:hAnsi="Arial" w:cs="Arial"/>
                <w:sz w:val="16"/>
                <w:szCs w:val="16"/>
              </w:rPr>
              <w:t xml:space="preserve"> previamente estabelecido com a fiscalização para fornecimento dos materiais; por unidade de tempo definida para determinar o atraso. </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03</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0,8% por dia</w:t>
            </w:r>
          </w:p>
        </w:tc>
      </w:tr>
      <w:tr w:rsidR="00657244" w:rsidRPr="00657244" w:rsidTr="003313E2">
        <w:trPr>
          <w:trHeight w:val="797"/>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Cumprir quaisquer dos itens do Edital e anexos, mesmo que não previstos nesta tabela de multas, após reincidência formalmente notificada pela fiscalização;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03</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0,8% por dia</w:t>
            </w:r>
          </w:p>
        </w:tc>
      </w:tr>
      <w:tr w:rsidR="00657244" w:rsidRPr="00657244" w:rsidTr="003313E2">
        <w:trPr>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Iniciar a entrega dos materiais nos prazos estabelecidos, observados os limites mínimos estabelecidos no Termo de Referência;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02</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0,4% por dia</w:t>
            </w:r>
          </w:p>
        </w:tc>
      </w:tr>
      <w:tr w:rsidR="00657244" w:rsidRPr="00657244" w:rsidTr="003313E2">
        <w:trPr>
          <w:trHeight w:val="219"/>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vAlign w:val="center"/>
          </w:tcPr>
          <w:p w:rsidR="00657244" w:rsidRPr="00657244" w:rsidRDefault="00657244" w:rsidP="003313E2">
            <w:pPr>
              <w:autoSpaceDE w:val="0"/>
              <w:autoSpaceDN w:val="0"/>
              <w:adjustRightInd w:val="0"/>
              <w:jc w:val="both"/>
              <w:rPr>
                <w:rFonts w:ascii="Arial" w:hAnsi="Arial" w:cs="Arial"/>
                <w:sz w:val="16"/>
                <w:szCs w:val="16"/>
              </w:rPr>
            </w:pPr>
            <w:r w:rsidRPr="00657244">
              <w:rPr>
                <w:rFonts w:ascii="Arial" w:hAnsi="Arial" w:cs="Arial"/>
                <w:sz w:val="16"/>
                <w:szCs w:val="16"/>
              </w:rPr>
              <w:t>Manter a documentação de habilitação atualizada; por item, por ocorrência.</w:t>
            </w:r>
          </w:p>
        </w:tc>
        <w:tc>
          <w:tcPr>
            <w:tcW w:w="473"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01</w:t>
            </w:r>
          </w:p>
        </w:tc>
        <w:tc>
          <w:tcPr>
            <w:tcW w:w="824" w:type="pct"/>
            <w:vAlign w:val="center"/>
          </w:tcPr>
          <w:p w:rsidR="00657244" w:rsidRPr="00657244" w:rsidRDefault="00657244" w:rsidP="003313E2">
            <w:pPr>
              <w:autoSpaceDE w:val="0"/>
              <w:autoSpaceDN w:val="0"/>
              <w:adjustRightInd w:val="0"/>
              <w:jc w:val="center"/>
              <w:rPr>
                <w:rFonts w:ascii="Arial" w:hAnsi="Arial" w:cs="Arial"/>
                <w:sz w:val="16"/>
                <w:szCs w:val="16"/>
              </w:rPr>
            </w:pPr>
            <w:r w:rsidRPr="00657244">
              <w:rPr>
                <w:rFonts w:ascii="Arial" w:hAnsi="Arial" w:cs="Arial"/>
                <w:sz w:val="16"/>
                <w:szCs w:val="16"/>
              </w:rPr>
              <w:t>0,2% por dia</w:t>
            </w:r>
          </w:p>
        </w:tc>
      </w:tr>
      <w:tr w:rsidR="00657244" w:rsidRPr="00657244" w:rsidTr="003313E2">
        <w:trPr>
          <w:trHeight w:val="219"/>
          <w:jc w:val="right"/>
        </w:trPr>
        <w:tc>
          <w:tcPr>
            <w:tcW w:w="434" w:type="pct"/>
            <w:vAlign w:val="center"/>
          </w:tcPr>
          <w:p w:rsidR="00657244" w:rsidRPr="00657244" w:rsidRDefault="00657244" w:rsidP="00657244">
            <w:pPr>
              <w:numPr>
                <w:ilvl w:val="0"/>
                <w:numId w:val="14"/>
              </w:numPr>
              <w:autoSpaceDE w:val="0"/>
              <w:autoSpaceDN w:val="0"/>
              <w:adjustRightInd w:val="0"/>
              <w:ind w:left="0" w:firstLine="0"/>
              <w:jc w:val="center"/>
              <w:rPr>
                <w:rFonts w:ascii="Arial" w:hAnsi="Arial" w:cs="Arial"/>
                <w:sz w:val="16"/>
                <w:szCs w:val="16"/>
              </w:rPr>
            </w:pPr>
          </w:p>
        </w:tc>
        <w:tc>
          <w:tcPr>
            <w:tcW w:w="3269" w:type="pct"/>
          </w:tcPr>
          <w:p w:rsidR="00657244" w:rsidRPr="00657244" w:rsidRDefault="00657244" w:rsidP="003313E2">
            <w:pPr>
              <w:jc w:val="both"/>
              <w:rPr>
                <w:rFonts w:ascii="Arial" w:hAnsi="Arial" w:cs="Arial"/>
                <w:sz w:val="16"/>
                <w:szCs w:val="16"/>
              </w:rPr>
            </w:pPr>
            <w:proofErr w:type="spellStart"/>
            <w:r w:rsidRPr="00657244">
              <w:rPr>
                <w:rFonts w:ascii="Arial" w:hAnsi="Arial" w:cs="Arial"/>
                <w:sz w:val="16"/>
                <w:szCs w:val="16"/>
              </w:rPr>
              <w:t>Fornecer</w:t>
            </w:r>
            <w:proofErr w:type="spellEnd"/>
            <w:r w:rsidRPr="00657244">
              <w:rPr>
                <w:rFonts w:ascii="Arial" w:hAnsi="Arial" w:cs="Arial"/>
                <w:sz w:val="16"/>
                <w:szCs w:val="16"/>
              </w:rPr>
              <w:t xml:space="preserve"> suporte técnico à Contratante e </w:t>
            </w:r>
            <w:proofErr w:type="spellStart"/>
            <w:r w:rsidRPr="00657244">
              <w:rPr>
                <w:rFonts w:ascii="Arial" w:hAnsi="Arial" w:cs="Arial"/>
                <w:sz w:val="16"/>
                <w:szCs w:val="16"/>
              </w:rPr>
              <w:t>á</w:t>
            </w:r>
            <w:proofErr w:type="spellEnd"/>
            <w:r w:rsidRPr="00657244">
              <w:rPr>
                <w:rFonts w:ascii="Arial" w:hAnsi="Arial" w:cs="Arial"/>
                <w:sz w:val="16"/>
                <w:szCs w:val="16"/>
              </w:rPr>
              <w:t xml:space="preserve"> rede credenciada durante o período de garantia, por ocorrência e por dia.</w:t>
            </w:r>
          </w:p>
        </w:tc>
        <w:tc>
          <w:tcPr>
            <w:tcW w:w="473" w:type="pct"/>
          </w:tcPr>
          <w:p w:rsidR="00657244" w:rsidRPr="00657244" w:rsidRDefault="00657244" w:rsidP="003313E2">
            <w:pPr>
              <w:jc w:val="center"/>
              <w:rPr>
                <w:rFonts w:ascii="Arial" w:hAnsi="Arial" w:cs="Arial"/>
                <w:sz w:val="16"/>
                <w:szCs w:val="16"/>
              </w:rPr>
            </w:pPr>
            <w:r w:rsidRPr="00657244">
              <w:rPr>
                <w:rFonts w:ascii="Arial" w:hAnsi="Arial" w:cs="Arial"/>
                <w:sz w:val="16"/>
                <w:szCs w:val="16"/>
              </w:rPr>
              <w:t>01</w:t>
            </w:r>
          </w:p>
        </w:tc>
        <w:tc>
          <w:tcPr>
            <w:tcW w:w="824" w:type="pct"/>
          </w:tcPr>
          <w:p w:rsidR="00657244" w:rsidRPr="00657244" w:rsidRDefault="00657244" w:rsidP="003313E2">
            <w:pPr>
              <w:jc w:val="center"/>
              <w:rPr>
                <w:rFonts w:ascii="Arial" w:hAnsi="Arial" w:cs="Arial"/>
                <w:sz w:val="16"/>
                <w:szCs w:val="16"/>
              </w:rPr>
            </w:pPr>
            <w:r w:rsidRPr="00657244">
              <w:rPr>
                <w:rFonts w:ascii="Arial" w:hAnsi="Arial" w:cs="Arial"/>
                <w:sz w:val="16"/>
                <w:szCs w:val="16"/>
              </w:rPr>
              <w:t>0,2% por dia</w:t>
            </w:r>
          </w:p>
        </w:tc>
      </w:tr>
    </w:tbl>
    <w:p w:rsidR="00657244" w:rsidRDefault="00657244" w:rsidP="00657244">
      <w:pPr>
        <w:pStyle w:val="PargrafodaLista"/>
        <w:suppressAutoHyphens/>
        <w:spacing w:line="100" w:lineRule="atLeast"/>
        <w:ind w:left="360" w:right="47"/>
        <w:jc w:val="both"/>
        <w:rPr>
          <w:rFonts w:ascii="Arial" w:hAnsi="Arial" w:cs="Arial"/>
          <w:sz w:val="16"/>
          <w:szCs w:val="16"/>
        </w:rPr>
      </w:pPr>
    </w:p>
    <w:p w:rsidR="00657244" w:rsidRDefault="00657244" w:rsidP="00657244">
      <w:pPr>
        <w:pStyle w:val="PargrafodaLista"/>
        <w:suppressAutoHyphens/>
        <w:spacing w:line="100" w:lineRule="atLeast"/>
        <w:ind w:left="360" w:right="47"/>
        <w:jc w:val="both"/>
        <w:rPr>
          <w:rFonts w:ascii="Arial" w:hAnsi="Arial" w:cs="Arial"/>
          <w:sz w:val="16"/>
          <w:szCs w:val="16"/>
        </w:rPr>
      </w:pPr>
    </w:p>
    <w:p w:rsidR="00657244" w:rsidRDefault="00657244" w:rsidP="00657244">
      <w:pPr>
        <w:pStyle w:val="PargrafodaLista"/>
        <w:suppressAutoHyphens/>
        <w:spacing w:line="100" w:lineRule="atLeast"/>
        <w:ind w:left="360" w:right="47"/>
        <w:jc w:val="both"/>
        <w:rPr>
          <w:rFonts w:ascii="Arial" w:hAnsi="Arial" w:cs="Arial"/>
          <w:sz w:val="16"/>
          <w:szCs w:val="16"/>
        </w:rPr>
      </w:pP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As sanções aqui previstas poderão ser aplicadas concomitantemente, facultada a defesa prévia do interessado, no respectivo processo, no prazo de 05 (cinco) dias úteis.</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Após 30 (trinta) dias da falta de execução do objeto, será considerada inexecução total do contrato, o que ensejará a rescisão contratual.</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 xml:space="preserve">As sanções de natureza pecuniária serão diretamente descontadas de créditos que eventualmente detenha a </w:t>
      </w:r>
      <w:proofErr w:type="spellStart"/>
      <w:r w:rsidRPr="00657244">
        <w:rPr>
          <w:rFonts w:ascii="Arial" w:hAnsi="Arial" w:cs="Arial"/>
          <w:sz w:val="16"/>
          <w:szCs w:val="16"/>
        </w:rPr>
        <w:t>CONTRATADAou</w:t>
      </w:r>
      <w:proofErr w:type="spellEnd"/>
      <w:r w:rsidRPr="00657244">
        <w:rPr>
          <w:rFonts w:ascii="Arial" w:hAnsi="Arial" w:cs="Arial"/>
          <w:sz w:val="16"/>
          <w:szCs w:val="16"/>
        </w:rPr>
        <w:t xml:space="preserve"> efetuada a sua cobrança na forma prevista em lei.</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657244" w:rsidRP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A sanção será obrigatoriamente registrada no Sistema de Cadastramento Unificado de Fornecedores – SICAF, bem como em sistemas Estaduais.</w:t>
      </w:r>
    </w:p>
    <w:p w:rsidR="00657244" w:rsidRDefault="00657244" w:rsidP="00657244">
      <w:pPr>
        <w:pStyle w:val="PargrafodaLista"/>
        <w:numPr>
          <w:ilvl w:val="1"/>
          <w:numId w:val="4"/>
        </w:numPr>
        <w:suppressAutoHyphens/>
        <w:spacing w:line="100" w:lineRule="atLeast"/>
        <w:ind w:right="47"/>
        <w:jc w:val="both"/>
        <w:rPr>
          <w:rFonts w:ascii="Arial" w:hAnsi="Arial" w:cs="Arial"/>
          <w:sz w:val="16"/>
          <w:szCs w:val="16"/>
        </w:rPr>
      </w:pPr>
      <w:r w:rsidRPr="00657244">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12242" w:rsidRPr="00657244" w:rsidRDefault="00112242" w:rsidP="00112242">
      <w:pPr>
        <w:pStyle w:val="PargrafodaLista"/>
        <w:suppressAutoHyphens/>
        <w:spacing w:line="100" w:lineRule="atLeast"/>
        <w:ind w:left="360" w:right="47"/>
        <w:jc w:val="both"/>
        <w:rPr>
          <w:rFonts w:ascii="Arial" w:hAnsi="Arial" w:cs="Arial"/>
          <w:sz w:val="16"/>
          <w:szCs w:val="16"/>
        </w:rPr>
      </w:pPr>
      <w:bookmarkStart w:id="1" w:name="_GoBack"/>
      <w:bookmarkEnd w:id="1"/>
    </w:p>
    <w:p w:rsidR="00657244" w:rsidRPr="00112242" w:rsidRDefault="00657244" w:rsidP="00112242">
      <w:pPr>
        <w:suppressAutoHyphens/>
        <w:spacing w:line="100" w:lineRule="atLeast"/>
        <w:ind w:right="47"/>
        <w:jc w:val="both"/>
        <w:rPr>
          <w:rFonts w:ascii="Arial" w:hAnsi="Arial" w:cs="Arial"/>
          <w:sz w:val="16"/>
          <w:szCs w:val="16"/>
        </w:rPr>
      </w:pPr>
      <w:r w:rsidRPr="00112242">
        <w:rPr>
          <w:rFonts w:ascii="Arial" w:hAnsi="Arial" w:cs="Arial"/>
          <w:sz w:val="16"/>
          <w:szCs w:val="16"/>
        </w:rPr>
        <w:t>a) Tenham sofrido condenações definitivas por praticarem, por meio dolosos, fraude fiscal no recolhimento de tributos;</w:t>
      </w:r>
    </w:p>
    <w:p w:rsidR="00657244" w:rsidRPr="00112242" w:rsidRDefault="00657244" w:rsidP="00112242">
      <w:pPr>
        <w:suppressAutoHyphens/>
        <w:spacing w:line="100" w:lineRule="atLeast"/>
        <w:ind w:right="47"/>
        <w:jc w:val="both"/>
        <w:rPr>
          <w:rFonts w:ascii="Arial" w:hAnsi="Arial" w:cs="Arial"/>
          <w:sz w:val="16"/>
          <w:szCs w:val="16"/>
        </w:rPr>
      </w:pPr>
      <w:r w:rsidRPr="00112242">
        <w:rPr>
          <w:rFonts w:ascii="Arial" w:hAnsi="Arial" w:cs="Arial"/>
          <w:sz w:val="16"/>
          <w:szCs w:val="16"/>
        </w:rPr>
        <w:t>b) Tenham praticado atos ilícitos visando a frustrar os objetivos da licitação;</w:t>
      </w:r>
    </w:p>
    <w:p w:rsidR="00657244" w:rsidRPr="00112242" w:rsidRDefault="00657244" w:rsidP="00112242">
      <w:pPr>
        <w:suppressAutoHyphens/>
        <w:spacing w:line="100" w:lineRule="atLeast"/>
        <w:ind w:right="47"/>
        <w:jc w:val="both"/>
        <w:rPr>
          <w:rFonts w:ascii="Arial" w:hAnsi="Arial" w:cs="Arial"/>
          <w:sz w:val="16"/>
          <w:szCs w:val="16"/>
        </w:rPr>
      </w:pPr>
      <w:r w:rsidRPr="00112242">
        <w:rPr>
          <w:rFonts w:ascii="Arial" w:hAnsi="Arial" w:cs="Arial"/>
          <w:sz w:val="16"/>
          <w:szCs w:val="16"/>
        </w:rPr>
        <w:t>c) Demonstrem não possuir idoneidade para contratar com a Administração em virtude de atos ilícitos praticados.</w:t>
      </w:r>
    </w:p>
    <w:p w:rsidR="00A27F38" w:rsidRDefault="00A27F38" w:rsidP="00A27F38">
      <w:pPr>
        <w:jc w:val="both"/>
        <w:rPr>
          <w:b/>
          <w:bCs/>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F78DE">
      <w:pPr>
        <w:jc w:val="both"/>
        <w:rPr>
          <w:rFonts w:ascii="Arial" w:hAnsi="Arial" w:cs="Arial"/>
          <w:color w:val="000000"/>
          <w:sz w:val="16"/>
          <w:szCs w:val="16"/>
        </w:rPr>
      </w:pPr>
    </w:p>
    <w:p w:rsidR="00334F76" w:rsidRPr="00EF0A9A" w:rsidRDefault="00CC63C7" w:rsidP="00EF0A9A">
      <w:pPr>
        <w:pStyle w:val="PargrafodaLista"/>
        <w:numPr>
          <w:ilvl w:val="1"/>
          <w:numId w:val="40"/>
        </w:numPr>
        <w:suppressAutoHyphens/>
        <w:spacing w:line="100" w:lineRule="atLeast"/>
        <w:ind w:right="47"/>
        <w:jc w:val="both"/>
        <w:rPr>
          <w:rFonts w:ascii="Arial" w:hAnsi="Arial" w:cs="Arial"/>
          <w:color w:val="000000"/>
          <w:sz w:val="16"/>
          <w:szCs w:val="16"/>
        </w:rPr>
      </w:pPr>
      <w:r w:rsidRPr="00EF0A9A">
        <w:rPr>
          <w:rFonts w:ascii="Arial" w:hAnsi="Arial" w:cs="Arial"/>
          <w:sz w:val="16"/>
          <w:szCs w:val="16"/>
        </w:rPr>
        <w:t xml:space="preserve"> </w:t>
      </w:r>
      <w:r w:rsidR="00EF2B1B" w:rsidRPr="00EF0A9A">
        <w:rPr>
          <w:rFonts w:ascii="Arial" w:hAnsi="Arial" w:cs="Arial"/>
          <w:sz w:val="16"/>
          <w:szCs w:val="16"/>
        </w:rPr>
        <w:t>Nos termos do Artigo 26 do Decreto Estadual 18.340/13, e</w:t>
      </w:r>
      <w:r w:rsidR="0010657B" w:rsidRPr="00EF0A9A">
        <w:rPr>
          <w:rFonts w:ascii="Arial" w:hAnsi="Arial" w:cs="Arial"/>
          <w:sz w:val="16"/>
          <w:szCs w:val="16"/>
        </w:rPr>
        <w:t>sta Ata de Registro de Preços</w:t>
      </w:r>
      <w:r w:rsidR="00334F76" w:rsidRPr="00EF0A9A">
        <w:rPr>
          <w:rFonts w:ascii="Arial" w:hAnsi="Arial" w:cs="Arial"/>
          <w:sz w:val="16"/>
          <w:szCs w:val="16"/>
        </w:rPr>
        <w:t>, durante a sua vigência,</w:t>
      </w:r>
      <w:r w:rsidR="0010657B" w:rsidRPr="00EF0A9A">
        <w:rPr>
          <w:rFonts w:ascii="Arial" w:hAnsi="Arial" w:cs="Arial"/>
          <w:sz w:val="16"/>
          <w:szCs w:val="16"/>
        </w:rPr>
        <w:t xml:space="preserve"> po</w:t>
      </w:r>
      <w:r w:rsidRPr="00EF0A9A">
        <w:rPr>
          <w:rFonts w:ascii="Arial" w:hAnsi="Arial" w:cs="Arial"/>
          <w:sz w:val="16"/>
          <w:szCs w:val="16"/>
        </w:rPr>
        <w:t xml:space="preserve">derá ser utilizada por qualquer </w:t>
      </w:r>
      <w:r w:rsidR="0010657B" w:rsidRPr="00EF0A9A">
        <w:rPr>
          <w:rFonts w:ascii="Arial" w:hAnsi="Arial" w:cs="Arial"/>
          <w:sz w:val="16"/>
          <w:szCs w:val="16"/>
        </w:rPr>
        <w:t xml:space="preserve">órgão </w:t>
      </w:r>
      <w:r w:rsidR="00334F76" w:rsidRPr="00EF0A9A">
        <w:rPr>
          <w:rFonts w:ascii="Arial" w:hAnsi="Arial" w:cs="Arial"/>
          <w:sz w:val="16"/>
          <w:szCs w:val="16"/>
        </w:rPr>
        <w:t xml:space="preserve">ou entidade da </w:t>
      </w:r>
      <w:r w:rsidR="00667902" w:rsidRPr="00EF0A9A">
        <w:rPr>
          <w:rFonts w:ascii="Arial" w:hAnsi="Arial" w:cs="Arial"/>
          <w:sz w:val="16"/>
          <w:szCs w:val="16"/>
        </w:rPr>
        <w:t>A</w:t>
      </w:r>
      <w:r w:rsidR="00334F76" w:rsidRPr="00EF0A9A">
        <w:rPr>
          <w:rFonts w:ascii="Arial" w:hAnsi="Arial" w:cs="Arial"/>
          <w:sz w:val="16"/>
          <w:szCs w:val="16"/>
        </w:rPr>
        <w:t xml:space="preserve">dministração </w:t>
      </w:r>
      <w:r w:rsidR="00667902" w:rsidRPr="00EF0A9A">
        <w:rPr>
          <w:rFonts w:ascii="Arial" w:hAnsi="Arial" w:cs="Arial"/>
          <w:sz w:val="16"/>
          <w:szCs w:val="16"/>
        </w:rPr>
        <w:t>P</w:t>
      </w:r>
      <w:r w:rsidR="00334F76" w:rsidRPr="00EF0A9A">
        <w:rPr>
          <w:rFonts w:ascii="Arial" w:hAnsi="Arial" w:cs="Arial"/>
          <w:sz w:val="16"/>
          <w:szCs w:val="16"/>
        </w:rPr>
        <w:t xml:space="preserve">ública </w:t>
      </w:r>
      <w:r w:rsidR="00667902" w:rsidRPr="00EF0A9A">
        <w:rPr>
          <w:rFonts w:ascii="Arial" w:hAnsi="Arial" w:cs="Arial"/>
          <w:sz w:val="16"/>
          <w:szCs w:val="16"/>
        </w:rPr>
        <w:t>E</w:t>
      </w:r>
      <w:r w:rsidR="00334F76" w:rsidRPr="00EF0A9A">
        <w:rPr>
          <w:rFonts w:ascii="Arial" w:hAnsi="Arial" w:cs="Arial"/>
          <w:sz w:val="16"/>
          <w:szCs w:val="16"/>
        </w:rPr>
        <w:t>stadual que não tenha participado do certame licitatório, mediante anuência do órgão gerenciador.</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EF0A9A">
      <w:pPr>
        <w:pStyle w:val="PargrafodaLista"/>
        <w:numPr>
          <w:ilvl w:val="1"/>
          <w:numId w:val="40"/>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9F78DE">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EF0A9A">
      <w:pPr>
        <w:pStyle w:val="PargrafodaLista1"/>
        <w:numPr>
          <w:ilvl w:val="1"/>
          <w:numId w:val="40"/>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9F78DE">
      <w:pPr>
        <w:pStyle w:val="PargrafodaLista1"/>
        <w:ind w:left="0"/>
        <w:jc w:val="both"/>
        <w:rPr>
          <w:rFonts w:ascii="Arial" w:hAnsi="Arial" w:cs="Arial"/>
          <w:color w:val="000000"/>
          <w:sz w:val="16"/>
          <w:szCs w:val="16"/>
        </w:rPr>
      </w:pPr>
    </w:p>
    <w:p w:rsidR="00334F76" w:rsidRPr="009A54D1" w:rsidRDefault="00CC63C7" w:rsidP="00EF0A9A">
      <w:pPr>
        <w:pStyle w:val="PargrafodaLista1"/>
        <w:numPr>
          <w:ilvl w:val="1"/>
          <w:numId w:val="40"/>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9F78DE">
      <w:pPr>
        <w:pStyle w:val="PargrafodaLista1"/>
        <w:tabs>
          <w:tab w:val="left" w:pos="142"/>
        </w:tabs>
        <w:ind w:left="0"/>
        <w:jc w:val="both"/>
        <w:rPr>
          <w:rFonts w:ascii="Arial" w:hAnsi="Arial" w:cs="Arial"/>
          <w:color w:val="000000"/>
          <w:sz w:val="16"/>
          <w:szCs w:val="16"/>
        </w:rPr>
      </w:pPr>
    </w:p>
    <w:p w:rsidR="00334F76" w:rsidRPr="00CC63C7" w:rsidRDefault="00CC63C7" w:rsidP="00EF0A9A">
      <w:pPr>
        <w:pStyle w:val="PargrafodaLista1"/>
        <w:numPr>
          <w:ilvl w:val="1"/>
          <w:numId w:val="40"/>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9F78DE">
      <w:pPr>
        <w:pStyle w:val="PargrafodaLista1"/>
        <w:ind w:left="0"/>
        <w:jc w:val="both"/>
        <w:rPr>
          <w:rFonts w:ascii="Arial" w:hAnsi="Arial" w:cs="Arial"/>
          <w:color w:val="000000"/>
          <w:sz w:val="16"/>
          <w:szCs w:val="16"/>
        </w:rPr>
      </w:pPr>
    </w:p>
    <w:p w:rsidR="0010657B" w:rsidRDefault="00CC63C7" w:rsidP="00EF0A9A">
      <w:pPr>
        <w:pStyle w:val="PargrafodaLista"/>
        <w:numPr>
          <w:ilvl w:val="1"/>
          <w:numId w:val="40"/>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9F78DE">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lastRenderedPageBreak/>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2D9B" w:rsidRPr="009A54D1" w:rsidRDefault="00DE2D9B" w:rsidP="009D2314">
      <w:pPr>
        <w:pStyle w:val="Corpodetexto3"/>
        <w:tabs>
          <w:tab w:val="left" w:pos="900"/>
        </w:tabs>
        <w:ind w:right="47"/>
        <w:rPr>
          <w:rFonts w:ascii="Arial" w:hAnsi="Arial" w:cs="Arial"/>
          <w:sz w:val="16"/>
          <w:szCs w:val="16"/>
        </w:rPr>
      </w:pPr>
    </w:p>
    <w:p w:rsidR="002660D3" w:rsidRPr="009F78DE" w:rsidRDefault="00657244" w:rsidP="002660D3">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Cs/>
          <w:color w:val="000000"/>
          <w:sz w:val="16"/>
          <w:szCs w:val="16"/>
        </w:rPr>
      </w:pPr>
      <w:r w:rsidRPr="00657244">
        <w:rPr>
          <w:rFonts w:ascii="Arial" w:hAnsi="Arial" w:cs="Arial"/>
          <w:b/>
          <w:sz w:val="16"/>
          <w:szCs w:val="16"/>
        </w:rPr>
        <w:t>SESAU</w:t>
      </w:r>
      <w:r>
        <w:rPr>
          <w:rFonts w:ascii="Arial" w:hAnsi="Arial" w:cs="Arial"/>
          <w:bCs/>
          <w:color w:val="000000"/>
          <w:sz w:val="16"/>
          <w:szCs w:val="16"/>
        </w:rPr>
        <w:t xml:space="preserve"> - </w:t>
      </w:r>
      <w:r w:rsidR="002660D3" w:rsidRPr="009F78DE">
        <w:rPr>
          <w:rFonts w:ascii="Arial" w:hAnsi="Arial" w:cs="Arial"/>
          <w:sz w:val="16"/>
          <w:szCs w:val="16"/>
        </w:rPr>
        <w:t xml:space="preserve">Secretaria de Estado da </w:t>
      </w:r>
      <w:r w:rsidR="009F78DE" w:rsidRPr="009F78DE">
        <w:rPr>
          <w:rFonts w:ascii="Arial" w:hAnsi="Arial" w:cs="Arial"/>
          <w:sz w:val="16"/>
          <w:szCs w:val="16"/>
        </w:rPr>
        <w:t>Saúde</w:t>
      </w:r>
      <w:r>
        <w:rPr>
          <w:rFonts w:ascii="Arial" w:hAnsi="Arial" w:cs="Arial"/>
          <w:sz w:val="16"/>
          <w:szCs w:val="16"/>
        </w:rPr>
        <w:t xml:space="preserve"> </w:t>
      </w:r>
    </w:p>
    <w:p w:rsidR="005269EC" w:rsidRPr="00D961FE" w:rsidRDefault="005269EC" w:rsidP="001D515A">
      <w:pPr>
        <w:rPr>
          <w:rFonts w:ascii="Arial" w:hAnsi="Arial" w:cs="Arial"/>
          <w:sz w:val="16"/>
          <w:szCs w:val="16"/>
        </w:rPr>
      </w:pP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w:t>
      </w:r>
      <w:proofErr w:type="gramStart"/>
      <w:r w:rsidR="00811634" w:rsidRPr="009A54D1">
        <w:rPr>
          <w:rFonts w:ascii="Arial" w:hAnsi="Arial" w:cs="Arial"/>
          <w:color w:val="000000"/>
          <w:sz w:val="16"/>
          <w:szCs w:val="16"/>
        </w:rPr>
        <w:t xml:space="preserve">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ofertadas</w:t>
      </w:r>
      <w:proofErr w:type="gramEnd"/>
      <w:r w:rsidR="00C60FBD" w:rsidRPr="009A54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2069DE" w:rsidP="001D7CAD">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DD3316">
        <w:rPr>
          <w:rFonts w:ascii="Arial" w:hAnsi="Arial" w:cs="Arial"/>
          <w:b/>
          <w:bCs/>
          <w:color w:val="000000"/>
          <w:sz w:val="16"/>
          <w:szCs w:val="16"/>
        </w:rPr>
        <w:t>Márcia</w:t>
      </w:r>
      <w:r w:rsidR="00B37590">
        <w:rPr>
          <w:rFonts w:ascii="Arial" w:hAnsi="Arial" w:cs="Arial"/>
          <w:b/>
          <w:bCs/>
          <w:color w:val="000000"/>
          <w:sz w:val="16"/>
          <w:szCs w:val="16"/>
        </w:rPr>
        <w:t xml:space="preserve">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C50BF7" w:rsidRDefault="00657244"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13AF" w:rsidRDefault="006213AF">
      <w:r>
        <w:separator/>
      </w:r>
    </w:p>
  </w:endnote>
  <w:endnote w:type="continuationSeparator" w:id="0">
    <w:p w:rsidR="006213AF" w:rsidRDefault="00621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13AF" w:rsidRDefault="006213AF">
      <w:r>
        <w:separator/>
      </w:r>
    </w:p>
  </w:footnote>
  <w:footnote w:type="continuationSeparator" w:id="0">
    <w:p w:rsidR="006213AF" w:rsidRDefault="006213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3AF" w:rsidRDefault="006213AF">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F623900"/>
    <w:multiLevelType w:val="multilevel"/>
    <w:tmpl w:val="02224E74"/>
    <w:lvl w:ilvl="0">
      <w:start w:val="10"/>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5">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36813D6C"/>
    <w:multiLevelType w:val="hybridMultilevel"/>
    <w:tmpl w:val="C16CC530"/>
    <w:lvl w:ilvl="0" w:tplc="76541A9A">
      <w:start w:val="1"/>
      <w:numFmt w:val="decimal"/>
      <w:lvlText w:val="9.%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2">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5">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6">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7">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8">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9">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98E06A0"/>
    <w:multiLevelType w:val="hybridMultilevel"/>
    <w:tmpl w:val="E7EAA60A"/>
    <w:lvl w:ilvl="0" w:tplc="176E1EEE">
      <w:start w:val="1"/>
      <w:numFmt w:val="decimal"/>
      <w:lvlText w:val="09.%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8"/>
  </w:num>
  <w:num w:numId="2">
    <w:abstractNumId w:val="24"/>
  </w:num>
  <w:num w:numId="3">
    <w:abstractNumId w:val="10"/>
  </w:num>
  <w:num w:numId="4">
    <w:abstractNumId w:val="8"/>
  </w:num>
  <w:num w:numId="5">
    <w:abstractNumId w:val="26"/>
  </w:num>
  <w:num w:numId="6">
    <w:abstractNumId w:val="25"/>
  </w:num>
  <w:num w:numId="7">
    <w:abstractNumId w:val="35"/>
  </w:num>
  <w:num w:numId="8">
    <w:abstractNumId w:val="20"/>
  </w:num>
  <w:num w:numId="9">
    <w:abstractNumId w:val="23"/>
  </w:num>
  <w:num w:numId="10">
    <w:abstractNumId w:val="7"/>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30"/>
  </w:num>
  <w:num w:numId="14">
    <w:abstractNumId w:val="38"/>
  </w:num>
  <w:num w:numId="15">
    <w:abstractNumId w:val="1"/>
  </w:num>
  <w:num w:numId="16">
    <w:abstractNumId w:val="5"/>
  </w:num>
  <w:num w:numId="17">
    <w:abstractNumId w:val="4"/>
  </w:num>
  <w:num w:numId="18">
    <w:abstractNumId w:val="3"/>
  </w:num>
  <w:num w:numId="19">
    <w:abstractNumId w:val="32"/>
  </w:num>
  <w:num w:numId="20">
    <w:abstractNumId w:val="34"/>
  </w:num>
  <w:num w:numId="21">
    <w:abstractNumId w:val="12"/>
  </w:num>
  <w:num w:numId="22">
    <w:abstractNumId w:val="37"/>
  </w:num>
  <w:num w:numId="23">
    <w:abstractNumId w:val="31"/>
  </w:num>
  <w:num w:numId="24">
    <w:abstractNumId w:val="11"/>
  </w:num>
  <w:num w:numId="25">
    <w:abstractNumId w:val="39"/>
  </w:num>
  <w:num w:numId="26">
    <w:abstractNumId w:val="19"/>
  </w:num>
  <w:num w:numId="27">
    <w:abstractNumId w:val="16"/>
  </w:num>
  <w:num w:numId="28">
    <w:abstractNumId w:val="9"/>
  </w:num>
  <w:num w:numId="29">
    <w:abstractNumId w:val="13"/>
  </w:num>
  <w:num w:numId="30">
    <w:abstractNumId w:val="27"/>
  </w:num>
  <w:num w:numId="31">
    <w:abstractNumId w:val="6"/>
  </w:num>
  <w:num w:numId="32">
    <w:abstractNumId w:val="21"/>
  </w:num>
  <w:num w:numId="33">
    <w:abstractNumId w:val="29"/>
  </w:num>
  <w:num w:numId="34">
    <w:abstractNumId w:val="17"/>
  </w:num>
  <w:num w:numId="35">
    <w:abstractNumId w:val="33"/>
  </w:num>
  <w:num w:numId="36">
    <w:abstractNumId w:val="18"/>
  </w:num>
  <w:num w:numId="37">
    <w:abstractNumId w:val="2"/>
  </w:num>
  <w:num w:numId="38">
    <w:abstractNumId w:val="22"/>
  </w:num>
  <w:num w:numId="39">
    <w:abstractNumId w:val="40"/>
  </w:num>
  <w:num w:numId="4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0FEE"/>
    <w:rsid w:val="000E1460"/>
    <w:rsid w:val="000E6330"/>
    <w:rsid w:val="000F74A8"/>
    <w:rsid w:val="000F7CBF"/>
    <w:rsid w:val="001001E2"/>
    <w:rsid w:val="00104A59"/>
    <w:rsid w:val="00105005"/>
    <w:rsid w:val="0010657B"/>
    <w:rsid w:val="0010778E"/>
    <w:rsid w:val="001101E5"/>
    <w:rsid w:val="00110EB4"/>
    <w:rsid w:val="00110F0D"/>
    <w:rsid w:val="00112242"/>
    <w:rsid w:val="001140FE"/>
    <w:rsid w:val="001149DB"/>
    <w:rsid w:val="00116604"/>
    <w:rsid w:val="00117DED"/>
    <w:rsid w:val="00122860"/>
    <w:rsid w:val="00123460"/>
    <w:rsid w:val="00124F45"/>
    <w:rsid w:val="00125132"/>
    <w:rsid w:val="001256C6"/>
    <w:rsid w:val="00125D50"/>
    <w:rsid w:val="00126BCD"/>
    <w:rsid w:val="00136D85"/>
    <w:rsid w:val="00141A61"/>
    <w:rsid w:val="001440E6"/>
    <w:rsid w:val="00150F0C"/>
    <w:rsid w:val="00154611"/>
    <w:rsid w:val="00156C1F"/>
    <w:rsid w:val="00157C08"/>
    <w:rsid w:val="00160C39"/>
    <w:rsid w:val="00160F40"/>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25D2"/>
    <w:rsid w:val="004A1B6C"/>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549F"/>
    <w:rsid w:val="0054767B"/>
    <w:rsid w:val="005524A7"/>
    <w:rsid w:val="00554CC0"/>
    <w:rsid w:val="00563419"/>
    <w:rsid w:val="00567E2E"/>
    <w:rsid w:val="00570245"/>
    <w:rsid w:val="00571745"/>
    <w:rsid w:val="0057352A"/>
    <w:rsid w:val="00577B89"/>
    <w:rsid w:val="00580D95"/>
    <w:rsid w:val="00584E6F"/>
    <w:rsid w:val="00587C0E"/>
    <w:rsid w:val="00592E29"/>
    <w:rsid w:val="005965DB"/>
    <w:rsid w:val="005A433F"/>
    <w:rsid w:val="005A50AE"/>
    <w:rsid w:val="005A6DF8"/>
    <w:rsid w:val="005A7B62"/>
    <w:rsid w:val="005C080E"/>
    <w:rsid w:val="005C1E2C"/>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3AF"/>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57244"/>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0595"/>
    <w:rsid w:val="006F19C3"/>
    <w:rsid w:val="006F4088"/>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03241"/>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7F38"/>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5D5C"/>
    <w:rsid w:val="00A87363"/>
    <w:rsid w:val="00A948C2"/>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316"/>
    <w:rsid w:val="00DD4A61"/>
    <w:rsid w:val="00DE287F"/>
    <w:rsid w:val="00DE2D9B"/>
    <w:rsid w:val="00DE3E2B"/>
    <w:rsid w:val="00DE5A13"/>
    <w:rsid w:val="00DE6B15"/>
    <w:rsid w:val="00DE6F5D"/>
    <w:rsid w:val="00DE71D1"/>
    <w:rsid w:val="00DE77D2"/>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E2F13"/>
    <w:rsid w:val="00EF0A9A"/>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5282E93-8FB6-43E8-8E89-572A1DAAB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83163869">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740929-0A32-4FB7-8F53-F7FA685BD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3177</Words>
  <Characters>17638</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4</cp:revision>
  <cp:lastPrinted>2017-09-26T18:51:00Z</cp:lastPrinted>
  <dcterms:created xsi:type="dcterms:W3CDTF">2017-12-11T14:38:00Z</dcterms:created>
  <dcterms:modified xsi:type="dcterms:W3CDTF">2017-12-11T16:20:00Z</dcterms:modified>
</cp:coreProperties>
</file>