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C33E77">
        <w:rPr>
          <w:rFonts w:ascii="Arial" w:hAnsi="Arial" w:cs="Arial"/>
          <w:sz w:val="16"/>
          <w:szCs w:val="16"/>
        </w:rPr>
        <w:t>27</w:t>
      </w:r>
      <w:r w:rsidR="003B7DAA">
        <w:rPr>
          <w:rFonts w:ascii="Arial" w:hAnsi="Arial" w:cs="Arial"/>
          <w:sz w:val="16"/>
          <w:szCs w:val="16"/>
        </w:rPr>
        <w:t>7</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3B7DAA" w:rsidRPr="003B7DAA">
        <w:rPr>
          <w:rFonts w:ascii="Arial" w:hAnsi="Arial" w:cs="Arial"/>
          <w:bCs/>
          <w:sz w:val="16"/>
          <w:szCs w:val="16"/>
        </w:rPr>
        <w:t>298</w:t>
      </w:r>
      <w:r w:rsidR="008C7613" w:rsidRPr="003B7DAA">
        <w:rPr>
          <w:rFonts w:ascii="Arial" w:hAnsi="Arial" w:cs="Arial"/>
          <w:bCs/>
          <w:sz w:val="16"/>
          <w:szCs w:val="16"/>
        </w:rPr>
        <w:t>/201</w:t>
      </w:r>
      <w:r w:rsidR="002E3228" w:rsidRPr="003B7DAA">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3B7DAA">
        <w:rPr>
          <w:rFonts w:ascii="Arial" w:hAnsi="Arial" w:cs="Arial"/>
          <w:bCs/>
          <w:sz w:val="16"/>
          <w:szCs w:val="16"/>
        </w:rPr>
        <w:t>01-1712.01673-00/2017</w:t>
      </w:r>
    </w:p>
    <w:p w:rsidR="009D2314" w:rsidRPr="00587C0E" w:rsidRDefault="009D2314" w:rsidP="00F73958">
      <w:pPr>
        <w:pStyle w:val="Cabealho"/>
        <w:jc w:val="both"/>
        <w:rPr>
          <w:rFonts w:ascii="Arial" w:hAnsi="Arial" w:cs="Arial"/>
          <w:b/>
          <w:sz w:val="16"/>
          <w:szCs w:val="16"/>
        </w:rPr>
      </w:pPr>
    </w:p>
    <w:p w:rsidR="009D2314" w:rsidRPr="00B27C89"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3B7DAA" w:rsidRPr="003B7DAA">
        <w:rPr>
          <w:rFonts w:ascii="Arial" w:hAnsi="Arial" w:cs="Arial"/>
          <w:color w:val="000000"/>
          <w:sz w:val="16"/>
          <w:szCs w:val="16"/>
        </w:rPr>
        <w:t>para futura e eventual aquisição de materiais e insumos oftalmológicos, necessários para a realização de procedimentos cirúrgicos em oftalmologia, de média e alta complexidade, para atender a Secretaria de Estado da Saúde - SESAU</w:t>
      </w:r>
      <w:r w:rsidR="001606A8" w:rsidRPr="003B7DAA">
        <w:rPr>
          <w:rFonts w:ascii="Arial" w:hAnsi="Arial" w:cs="Arial"/>
          <w:color w:val="000000"/>
          <w:sz w:val="16"/>
          <w:szCs w:val="16"/>
        </w:rPr>
        <w:t xml:space="preserve">, </w:t>
      </w:r>
      <w:r w:rsidR="00DF042C" w:rsidRPr="003B7DAA">
        <w:rPr>
          <w:rFonts w:ascii="Arial" w:hAnsi="Arial" w:cs="Arial"/>
          <w:color w:val="000000"/>
          <w:sz w:val="16"/>
          <w:szCs w:val="16"/>
        </w:rPr>
        <w:t xml:space="preserve">por um período de 12 (doze) meses, </w:t>
      </w:r>
      <w:r w:rsidRPr="003B7DAA">
        <w:rPr>
          <w:rFonts w:ascii="Arial" w:hAnsi="Arial" w:cs="Arial"/>
          <w:color w:val="000000"/>
          <w:sz w:val="16"/>
          <w:szCs w:val="16"/>
        </w:rPr>
        <w:t>conforme Anexo Único desta ata, atendendo as condições previstas no instrumento convocatório</w:t>
      </w:r>
      <w:r w:rsidRPr="00B27C89">
        <w:rPr>
          <w:rFonts w:ascii="Arial" w:hAnsi="Arial" w:cs="Arial"/>
          <w:sz w:val="16"/>
          <w:szCs w:val="16"/>
        </w:rPr>
        <w:t xml:space="preserve"> e as constantes nesta Ata de Registro de Preços, sujeitando-se as partes às normas constantes da Lei nº. 8.666/93 e suas alterações, Decreto Estadual nº 1</w:t>
      </w:r>
      <w:r w:rsidR="0096128C" w:rsidRPr="00B27C89">
        <w:rPr>
          <w:rFonts w:ascii="Arial" w:hAnsi="Arial" w:cs="Arial"/>
          <w:sz w:val="16"/>
          <w:szCs w:val="16"/>
        </w:rPr>
        <w:t>8.340/13</w:t>
      </w:r>
      <w:r w:rsidRPr="00B27C89">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B27C89"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3B7DAA" w:rsidRPr="003B7DAA">
        <w:rPr>
          <w:rFonts w:ascii="Arial" w:hAnsi="Arial" w:cs="Arial"/>
          <w:color w:val="000000"/>
          <w:sz w:val="16"/>
          <w:szCs w:val="16"/>
        </w:rPr>
        <w:t>para futura e eventual aquisição de materiais e insumos oftalmológicos, necessários para a realização de procedimentos cirúrgicos em oftalmologia, de média e alta complexidade, para atender a Secretaria de Estado da Saúde - SESAU</w:t>
      </w:r>
      <w:r w:rsidR="00B27C89" w:rsidRPr="00B27C89">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3B7DAA" w:rsidRPr="003B7DAA" w:rsidRDefault="004B50C5" w:rsidP="003B7DAA">
      <w:pPr>
        <w:spacing w:after="240"/>
        <w:jc w:val="both"/>
        <w:rPr>
          <w:rFonts w:ascii="Arial" w:hAnsi="Arial" w:cs="Arial"/>
          <w:sz w:val="16"/>
          <w:szCs w:val="16"/>
        </w:rPr>
      </w:pPr>
      <w:r w:rsidRPr="003B7DAA">
        <w:rPr>
          <w:rFonts w:ascii="Arial" w:hAnsi="Arial" w:cs="Arial"/>
          <w:sz w:val="16"/>
          <w:szCs w:val="16"/>
        </w:rPr>
        <w:t>6.3</w:t>
      </w:r>
      <w:r w:rsidR="001643CD" w:rsidRPr="003B7DAA">
        <w:rPr>
          <w:rFonts w:ascii="Arial" w:hAnsi="Arial" w:cs="Arial"/>
          <w:sz w:val="16"/>
          <w:szCs w:val="16"/>
        </w:rPr>
        <w:t>.</w:t>
      </w:r>
      <w:r w:rsidRPr="003B7DAA">
        <w:rPr>
          <w:rFonts w:ascii="Arial" w:hAnsi="Arial" w:cs="Arial"/>
          <w:sz w:val="16"/>
          <w:szCs w:val="16"/>
        </w:rPr>
        <w:t xml:space="preserve"> </w:t>
      </w:r>
      <w:r w:rsidR="00F17DD3" w:rsidRPr="003B7DAA">
        <w:rPr>
          <w:rFonts w:ascii="Arial" w:hAnsi="Arial" w:cs="Arial"/>
          <w:b/>
          <w:sz w:val="16"/>
          <w:szCs w:val="16"/>
        </w:rPr>
        <w:t>PRAZO DE ENTREGA:</w:t>
      </w:r>
      <w:r w:rsidR="00AF4E7E" w:rsidRPr="003B7DAA">
        <w:rPr>
          <w:rFonts w:ascii="Arial" w:hAnsi="Arial" w:cs="Arial"/>
          <w:sz w:val="16"/>
          <w:szCs w:val="16"/>
        </w:rPr>
        <w:t xml:space="preserve">  </w:t>
      </w:r>
      <w:r w:rsidR="003B7DAA" w:rsidRPr="003B7DAA">
        <w:rPr>
          <w:rFonts w:ascii="Arial" w:hAnsi="Arial" w:cs="Arial"/>
          <w:sz w:val="16"/>
          <w:szCs w:val="16"/>
        </w:rPr>
        <w:t xml:space="preserve">O prazo para entrega será de 15 (quinze) dias, cabendo-nos até 30 (trinta) dias a contar do recebimento da Nota de Empenho. </w:t>
      </w:r>
    </w:p>
    <w:p w:rsidR="00C33E77" w:rsidRPr="00B27C89" w:rsidRDefault="00C33E77" w:rsidP="00FD59F7">
      <w:pPr>
        <w:jc w:val="both"/>
        <w:rPr>
          <w:rFonts w:ascii="Arial" w:hAnsi="Arial" w:cs="Arial"/>
          <w:sz w:val="16"/>
          <w:szCs w:val="16"/>
        </w:rPr>
      </w:pPr>
    </w:p>
    <w:p w:rsidR="003B7DAA" w:rsidRPr="003B7DAA" w:rsidRDefault="00F23872" w:rsidP="003B7DAA">
      <w:pPr>
        <w:spacing w:after="240"/>
        <w:jc w:val="both"/>
        <w:rPr>
          <w:rFonts w:ascii="Arial" w:hAnsi="Arial" w:cs="Arial"/>
          <w:sz w:val="16"/>
          <w:szCs w:val="16"/>
        </w:rPr>
      </w:pPr>
      <w:r w:rsidRPr="003B7DAA">
        <w:rPr>
          <w:rFonts w:ascii="Arial" w:hAnsi="Arial" w:cs="Arial"/>
          <w:sz w:val="16"/>
          <w:szCs w:val="16"/>
        </w:rPr>
        <w:t>6</w:t>
      </w:r>
      <w:r w:rsidR="00F111D9" w:rsidRPr="003B7DAA">
        <w:rPr>
          <w:rFonts w:ascii="Arial" w:hAnsi="Arial" w:cs="Arial"/>
          <w:sz w:val="16"/>
          <w:szCs w:val="16"/>
        </w:rPr>
        <w:t>.4</w:t>
      </w:r>
      <w:r w:rsidR="001643CD" w:rsidRPr="003B7DAA">
        <w:rPr>
          <w:rFonts w:ascii="Arial" w:hAnsi="Arial" w:cs="Arial"/>
          <w:sz w:val="16"/>
          <w:szCs w:val="16"/>
        </w:rPr>
        <w:t>.</w:t>
      </w:r>
      <w:r w:rsidRPr="003B7DAA">
        <w:rPr>
          <w:rFonts w:ascii="Arial" w:hAnsi="Arial" w:cs="Arial"/>
          <w:sz w:val="16"/>
          <w:szCs w:val="16"/>
        </w:rPr>
        <w:t xml:space="preserve"> </w:t>
      </w:r>
      <w:r w:rsidR="00AF4E7E" w:rsidRPr="003B7DAA">
        <w:rPr>
          <w:rFonts w:ascii="Arial" w:hAnsi="Arial" w:cs="Arial"/>
          <w:b/>
          <w:sz w:val="16"/>
          <w:szCs w:val="16"/>
        </w:rPr>
        <w:t xml:space="preserve">LOCAL DE ENTREGA: </w:t>
      </w:r>
      <w:r w:rsidR="00AF4E7E" w:rsidRPr="00B27C89">
        <w:rPr>
          <w:rFonts w:ascii="Arial" w:hAnsi="Arial" w:cs="Arial"/>
          <w:sz w:val="16"/>
          <w:szCs w:val="16"/>
        </w:rPr>
        <w:t xml:space="preserve"> </w:t>
      </w:r>
      <w:r w:rsidR="003B7DAA" w:rsidRPr="003B7DAA">
        <w:rPr>
          <w:rFonts w:ascii="Arial" w:hAnsi="Arial" w:cs="Arial"/>
          <w:sz w:val="16"/>
          <w:szCs w:val="16"/>
        </w:rPr>
        <w:t>Os materiais deverão ser entregues no Almoxarifado Central/SESAU, Avenida Rio Madeira, 603, Bairro Lagoa – Porto Velho/RO, de Segunda a Sexta-Feira das 7h30min às 13h30min.</w:t>
      </w:r>
    </w:p>
    <w:p w:rsidR="001606A8" w:rsidRPr="003B7DAA" w:rsidRDefault="001606A8" w:rsidP="003B7DAA">
      <w:pPr>
        <w:autoSpaceDE w:val="0"/>
        <w:autoSpaceDN w:val="0"/>
        <w:adjustRightInd w:val="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3B7DAA" w:rsidRPr="003B7DAA" w:rsidRDefault="003B7DAA" w:rsidP="003B7DAA">
      <w:pPr>
        <w:jc w:val="both"/>
        <w:rPr>
          <w:rFonts w:ascii="Arial" w:hAnsi="Arial" w:cs="Arial"/>
          <w:sz w:val="16"/>
          <w:szCs w:val="16"/>
        </w:rPr>
      </w:pPr>
      <w:r w:rsidRPr="003B7DAA">
        <w:rPr>
          <w:rFonts w:ascii="Arial" w:hAnsi="Arial" w:cs="Arial"/>
          <w:sz w:val="16"/>
          <w:szCs w:val="16"/>
        </w:rPr>
        <w:t>9.1 Além das penalidades previstas na Lei nº. 8.666/93, a CONTRATADA estará sujeita as sanções previstas no art. 87, da mesma lei, pela inexecução total ou parcial do objeto do contrato, originado deste instrumento de aquisição, conforme segue:</w:t>
      </w:r>
    </w:p>
    <w:p w:rsidR="003B7DAA" w:rsidRPr="003B7DAA" w:rsidRDefault="003B7DAA" w:rsidP="003B7DAA">
      <w:pPr>
        <w:jc w:val="both"/>
        <w:rPr>
          <w:rFonts w:ascii="Arial" w:hAnsi="Arial" w:cs="Arial"/>
          <w:sz w:val="16"/>
          <w:szCs w:val="16"/>
        </w:rPr>
      </w:pPr>
    </w:p>
    <w:p w:rsidR="003B7DAA" w:rsidRPr="003B7DAA" w:rsidRDefault="003B7DAA" w:rsidP="003B7DAA">
      <w:pPr>
        <w:jc w:val="both"/>
        <w:rPr>
          <w:rFonts w:ascii="Arial" w:hAnsi="Arial" w:cs="Arial"/>
          <w:sz w:val="16"/>
          <w:szCs w:val="16"/>
        </w:rPr>
      </w:pPr>
      <w:r w:rsidRPr="003B7DAA">
        <w:rPr>
          <w:rFonts w:ascii="Arial" w:hAnsi="Arial" w:cs="Arial"/>
          <w:sz w:val="16"/>
          <w:szCs w:val="16"/>
        </w:rPr>
        <w:t>9.2 Advertência quando se tratar de infração leve, a juízo da fiscalização, no caso de descumprimento das obrigações e responsabilidades assumidas neste contrato, ou ainda, no caso de outras ocorrências que possam acarretar transtornos ao desenvolvimento dos serviços da Contratante, desde que não caiba a aplicação de sanção mais grave;</w:t>
      </w:r>
    </w:p>
    <w:p w:rsidR="003B7DAA" w:rsidRPr="003B7DAA" w:rsidRDefault="003B7DAA" w:rsidP="003B7DAA">
      <w:pPr>
        <w:jc w:val="both"/>
        <w:rPr>
          <w:rFonts w:ascii="Arial" w:hAnsi="Arial" w:cs="Arial"/>
          <w:sz w:val="16"/>
          <w:szCs w:val="16"/>
        </w:rPr>
      </w:pPr>
    </w:p>
    <w:p w:rsidR="003B7DAA" w:rsidRPr="003B7DAA" w:rsidRDefault="003B7DAA" w:rsidP="003B7DAA">
      <w:pPr>
        <w:tabs>
          <w:tab w:val="left" w:pos="960"/>
        </w:tabs>
        <w:jc w:val="both"/>
        <w:rPr>
          <w:rFonts w:ascii="Arial" w:hAnsi="Arial" w:cs="Arial"/>
          <w:sz w:val="16"/>
          <w:szCs w:val="16"/>
        </w:rPr>
      </w:pPr>
      <w:r w:rsidRPr="003B7DAA">
        <w:rPr>
          <w:rFonts w:ascii="Arial" w:hAnsi="Arial" w:cs="Arial"/>
          <w:sz w:val="16"/>
          <w:szCs w:val="16"/>
        </w:rPr>
        <w:t>9.3 Multas:</w:t>
      </w:r>
    </w:p>
    <w:p w:rsidR="003B7DAA" w:rsidRPr="003B7DAA" w:rsidRDefault="003B7DAA" w:rsidP="003B7DAA">
      <w:pPr>
        <w:numPr>
          <w:ilvl w:val="0"/>
          <w:numId w:val="31"/>
        </w:numPr>
        <w:tabs>
          <w:tab w:val="clear" w:pos="720"/>
          <w:tab w:val="left" w:pos="1200"/>
        </w:tabs>
        <w:ind w:left="1200"/>
        <w:jc w:val="both"/>
        <w:rPr>
          <w:rFonts w:ascii="Arial" w:hAnsi="Arial" w:cs="Arial"/>
          <w:sz w:val="16"/>
          <w:szCs w:val="16"/>
        </w:rPr>
      </w:pPr>
      <w:proofErr w:type="gramStart"/>
      <w:r w:rsidRPr="003B7DAA">
        <w:rPr>
          <w:rFonts w:ascii="Arial" w:hAnsi="Arial" w:cs="Arial"/>
          <w:sz w:val="16"/>
          <w:szCs w:val="16"/>
        </w:rPr>
        <w:t>pela</w:t>
      </w:r>
      <w:proofErr w:type="gramEnd"/>
      <w:r w:rsidRPr="003B7DAA">
        <w:rPr>
          <w:rFonts w:ascii="Arial" w:hAnsi="Arial" w:cs="Arial"/>
          <w:sz w:val="16"/>
          <w:szCs w:val="16"/>
        </w:rPr>
        <w:t xml:space="preserve"> recusa em assinar o presente contrato, multa de 10% (dez por cento) sobre o valor da Nota de Empenho.</w:t>
      </w:r>
    </w:p>
    <w:p w:rsidR="003B7DAA" w:rsidRPr="003B7DAA" w:rsidRDefault="003B7DAA" w:rsidP="003B7DAA">
      <w:pPr>
        <w:numPr>
          <w:ilvl w:val="0"/>
          <w:numId w:val="31"/>
        </w:numPr>
        <w:tabs>
          <w:tab w:val="clear" w:pos="720"/>
          <w:tab w:val="left" w:pos="1200"/>
        </w:tabs>
        <w:ind w:left="1200"/>
        <w:jc w:val="both"/>
        <w:rPr>
          <w:rFonts w:ascii="Arial" w:hAnsi="Arial" w:cs="Arial"/>
          <w:sz w:val="16"/>
          <w:szCs w:val="16"/>
        </w:rPr>
      </w:pPr>
      <w:proofErr w:type="gramStart"/>
      <w:r w:rsidRPr="003B7DAA">
        <w:rPr>
          <w:rFonts w:ascii="Arial" w:hAnsi="Arial" w:cs="Arial"/>
          <w:sz w:val="16"/>
          <w:szCs w:val="16"/>
        </w:rPr>
        <w:t>pela</w:t>
      </w:r>
      <w:proofErr w:type="gramEnd"/>
      <w:r w:rsidRPr="003B7DAA">
        <w:rPr>
          <w:rFonts w:ascii="Arial" w:hAnsi="Arial" w:cs="Arial"/>
          <w:sz w:val="16"/>
          <w:szCs w:val="16"/>
        </w:rPr>
        <w:t xml:space="preserve"> recusa em retirar nota de empenho, multa de 10% (dez por cento) sobre o valor da nota de empenho.</w:t>
      </w:r>
    </w:p>
    <w:p w:rsidR="003B7DAA" w:rsidRPr="003B7DAA" w:rsidRDefault="003B7DAA" w:rsidP="003B7DAA">
      <w:pPr>
        <w:numPr>
          <w:ilvl w:val="0"/>
          <w:numId w:val="31"/>
        </w:numPr>
        <w:tabs>
          <w:tab w:val="clear" w:pos="720"/>
          <w:tab w:val="left" w:pos="1200"/>
        </w:tabs>
        <w:ind w:left="1200"/>
        <w:jc w:val="both"/>
        <w:rPr>
          <w:rFonts w:ascii="Arial" w:hAnsi="Arial" w:cs="Arial"/>
          <w:sz w:val="16"/>
          <w:szCs w:val="16"/>
        </w:rPr>
      </w:pPr>
      <w:proofErr w:type="gramStart"/>
      <w:r w:rsidRPr="003B7DAA">
        <w:rPr>
          <w:rFonts w:ascii="Arial" w:hAnsi="Arial" w:cs="Arial"/>
          <w:sz w:val="16"/>
          <w:szCs w:val="16"/>
        </w:rPr>
        <w:t>pelo</w:t>
      </w:r>
      <w:proofErr w:type="gramEnd"/>
      <w:r w:rsidRPr="003B7DAA">
        <w:rPr>
          <w:rFonts w:ascii="Arial" w:hAnsi="Arial" w:cs="Arial"/>
          <w:sz w:val="16"/>
          <w:szCs w:val="16"/>
        </w:rPr>
        <w:t xml:space="preserve"> retardamento na entrega do material, multa diária de 1% (um por cento) sobre o valor da Nota de Empenho. A partir do 10º dia de atraso, </w:t>
      </w:r>
      <w:proofErr w:type="spellStart"/>
      <w:r w:rsidRPr="003B7DAA">
        <w:rPr>
          <w:rFonts w:ascii="Arial" w:hAnsi="Arial" w:cs="Arial"/>
          <w:sz w:val="16"/>
          <w:szCs w:val="16"/>
        </w:rPr>
        <w:t>configurar-se-à</w:t>
      </w:r>
      <w:proofErr w:type="spellEnd"/>
      <w:r w:rsidRPr="003B7DAA">
        <w:rPr>
          <w:rFonts w:ascii="Arial" w:hAnsi="Arial" w:cs="Arial"/>
          <w:sz w:val="16"/>
          <w:szCs w:val="16"/>
        </w:rPr>
        <w:t xml:space="preserve"> inexecução total ou parcial do contrato, com as </w:t>
      </w:r>
      <w:proofErr w:type="spellStart"/>
      <w:r w:rsidRPr="003B7DAA">
        <w:rPr>
          <w:rFonts w:ascii="Arial" w:hAnsi="Arial" w:cs="Arial"/>
          <w:sz w:val="16"/>
          <w:szCs w:val="16"/>
        </w:rPr>
        <w:t>conseqüências</w:t>
      </w:r>
      <w:proofErr w:type="spellEnd"/>
      <w:r w:rsidRPr="003B7DAA">
        <w:rPr>
          <w:rFonts w:ascii="Arial" w:hAnsi="Arial" w:cs="Arial"/>
          <w:sz w:val="16"/>
          <w:szCs w:val="16"/>
        </w:rPr>
        <w:t xml:space="preserve"> daí advindas;</w:t>
      </w:r>
    </w:p>
    <w:p w:rsidR="003B7DAA" w:rsidRPr="003B7DAA" w:rsidRDefault="003B7DAA" w:rsidP="003B7DAA">
      <w:pPr>
        <w:numPr>
          <w:ilvl w:val="0"/>
          <w:numId w:val="31"/>
        </w:numPr>
        <w:tabs>
          <w:tab w:val="clear" w:pos="720"/>
          <w:tab w:val="left" w:pos="1200"/>
        </w:tabs>
        <w:ind w:left="1200"/>
        <w:jc w:val="both"/>
        <w:rPr>
          <w:rFonts w:ascii="Arial" w:hAnsi="Arial" w:cs="Arial"/>
          <w:sz w:val="16"/>
          <w:szCs w:val="16"/>
        </w:rPr>
      </w:pPr>
      <w:proofErr w:type="gramStart"/>
      <w:r w:rsidRPr="003B7DAA">
        <w:rPr>
          <w:rFonts w:ascii="Arial" w:hAnsi="Arial" w:cs="Arial"/>
          <w:sz w:val="16"/>
          <w:szCs w:val="16"/>
        </w:rPr>
        <w:t>pela</w:t>
      </w:r>
      <w:proofErr w:type="gramEnd"/>
      <w:r w:rsidRPr="003B7DAA">
        <w:rPr>
          <w:rFonts w:ascii="Arial" w:hAnsi="Arial" w:cs="Arial"/>
          <w:sz w:val="16"/>
          <w:szCs w:val="16"/>
        </w:rPr>
        <w:t xml:space="preserve"> inexecução parcial, multa de 10% (dez por cento) sobre o valor da Nota de Empenho;</w:t>
      </w:r>
    </w:p>
    <w:p w:rsidR="003B7DAA" w:rsidRPr="003B7DAA" w:rsidRDefault="003B7DAA" w:rsidP="003B7DAA">
      <w:pPr>
        <w:numPr>
          <w:ilvl w:val="0"/>
          <w:numId w:val="31"/>
        </w:numPr>
        <w:tabs>
          <w:tab w:val="clear" w:pos="720"/>
          <w:tab w:val="left" w:pos="1200"/>
        </w:tabs>
        <w:ind w:left="1200"/>
        <w:jc w:val="both"/>
        <w:rPr>
          <w:rFonts w:ascii="Arial" w:hAnsi="Arial" w:cs="Arial"/>
          <w:sz w:val="16"/>
          <w:szCs w:val="16"/>
        </w:rPr>
      </w:pPr>
      <w:r w:rsidRPr="003B7DAA">
        <w:rPr>
          <w:rFonts w:ascii="Arial" w:hAnsi="Arial" w:cs="Arial"/>
          <w:sz w:val="16"/>
          <w:szCs w:val="16"/>
        </w:rPr>
        <w:t>Pelo descumprimento de qualquer outra cláusula, que não diga respeito diretamente à execução do objeto contratual, multa de 0,5% (meio ponto percentual) sobre o valor do contrato;</w:t>
      </w:r>
    </w:p>
    <w:p w:rsidR="003B7DAA" w:rsidRPr="003B7DAA" w:rsidRDefault="003B7DAA" w:rsidP="003B7DAA">
      <w:pPr>
        <w:tabs>
          <w:tab w:val="left" w:pos="960"/>
        </w:tabs>
        <w:jc w:val="both"/>
        <w:rPr>
          <w:rFonts w:ascii="Arial" w:hAnsi="Arial" w:cs="Arial"/>
          <w:sz w:val="16"/>
          <w:szCs w:val="16"/>
        </w:rPr>
      </w:pPr>
    </w:p>
    <w:p w:rsidR="003B7DAA" w:rsidRPr="003B7DAA" w:rsidRDefault="003B7DAA" w:rsidP="003B7DAA">
      <w:pPr>
        <w:tabs>
          <w:tab w:val="left" w:pos="960"/>
        </w:tabs>
        <w:jc w:val="both"/>
        <w:rPr>
          <w:rFonts w:ascii="Arial" w:hAnsi="Arial" w:cs="Arial"/>
          <w:sz w:val="16"/>
          <w:szCs w:val="16"/>
        </w:rPr>
      </w:pPr>
      <w:r w:rsidRPr="003B7DAA">
        <w:rPr>
          <w:rFonts w:ascii="Arial" w:hAnsi="Arial" w:cs="Arial"/>
          <w:sz w:val="16"/>
          <w:szCs w:val="16"/>
        </w:rPr>
        <w:t>9.4 O prazo para pagamento de multas será de 5 (cinco) dias úteis a contar da intimação da infratora, sob pena de inscrição do respectivo valor como dívida ativa, sujeitando-se a devedora ao competente processo judicial de execução.</w:t>
      </w:r>
    </w:p>
    <w:p w:rsidR="003B7DAA" w:rsidRPr="003B7DAA" w:rsidRDefault="003B7DAA" w:rsidP="003B7DAA">
      <w:pPr>
        <w:tabs>
          <w:tab w:val="left" w:pos="960"/>
        </w:tabs>
        <w:jc w:val="both"/>
        <w:rPr>
          <w:rFonts w:ascii="Arial" w:hAnsi="Arial" w:cs="Arial"/>
          <w:sz w:val="16"/>
          <w:szCs w:val="16"/>
        </w:rPr>
      </w:pPr>
    </w:p>
    <w:p w:rsidR="003B7DAA" w:rsidRPr="003B7DAA" w:rsidRDefault="003B7DAA" w:rsidP="003B7DAA">
      <w:pPr>
        <w:tabs>
          <w:tab w:val="left" w:pos="960"/>
        </w:tabs>
        <w:jc w:val="both"/>
        <w:rPr>
          <w:rFonts w:ascii="Arial" w:hAnsi="Arial" w:cs="Arial"/>
          <w:sz w:val="16"/>
          <w:szCs w:val="16"/>
        </w:rPr>
      </w:pPr>
      <w:r w:rsidRPr="003B7DAA">
        <w:rPr>
          <w:rFonts w:ascii="Arial" w:hAnsi="Arial" w:cs="Arial"/>
          <w:sz w:val="16"/>
          <w:szCs w:val="16"/>
        </w:rPr>
        <w:t>9.5 Suspensão temporária de participar em licitação e impedimento de contratar com a Administração, pelo prazo não superior a 05 (cinco) anos;</w:t>
      </w:r>
    </w:p>
    <w:p w:rsidR="003B7DAA" w:rsidRPr="003B7DAA" w:rsidRDefault="003B7DAA" w:rsidP="003B7DAA">
      <w:pPr>
        <w:tabs>
          <w:tab w:val="left" w:pos="960"/>
        </w:tabs>
        <w:jc w:val="both"/>
        <w:rPr>
          <w:rFonts w:ascii="Arial" w:hAnsi="Arial" w:cs="Arial"/>
          <w:sz w:val="16"/>
          <w:szCs w:val="16"/>
        </w:rPr>
      </w:pPr>
    </w:p>
    <w:p w:rsidR="003B7DAA" w:rsidRPr="003B7DAA" w:rsidRDefault="003B7DAA" w:rsidP="003B7DAA">
      <w:pPr>
        <w:tabs>
          <w:tab w:val="left" w:pos="960"/>
        </w:tabs>
        <w:jc w:val="both"/>
        <w:rPr>
          <w:rFonts w:ascii="Arial" w:hAnsi="Arial" w:cs="Arial"/>
          <w:sz w:val="16"/>
          <w:szCs w:val="16"/>
        </w:rPr>
      </w:pPr>
      <w:r w:rsidRPr="003B7DAA">
        <w:rPr>
          <w:rFonts w:ascii="Arial" w:hAnsi="Arial" w:cs="Arial"/>
          <w:sz w:val="16"/>
          <w:szCs w:val="16"/>
        </w:rPr>
        <w:t>9.6 Declaração de inidoneidade 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após decorrido o prazo da sanção aplicada com base na alínea anterior.</w:t>
      </w:r>
    </w:p>
    <w:p w:rsidR="003B7DAA" w:rsidRPr="003B7DAA" w:rsidRDefault="003B7DAA" w:rsidP="003B7DAA">
      <w:pPr>
        <w:tabs>
          <w:tab w:val="left" w:pos="960"/>
        </w:tabs>
        <w:jc w:val="both"/>
        <w:rPr>
          <w:rFonts w:ascii="Arial" w:hAnsi="Arial" w:cs="Arial"/>
          <w:sz w:val="16"/>
          <w:szCs w:val="16"/>
        </w:rPr>
      </w:pPr>
    </w:p>
    <w:p w:rsidR="003B7DAA" w:rsidRPr="003B7DAA" w:rsidRDefault="003B7DAA" w:rsidP="003B7DAA">
      <w:pPr>
        <w:tabs>
          <w:tab w:val="left" w:pos="960"/>
        </w:tabs>
        <w:jc w:val="both"/>
        <w:rPr>
          <w:rFonts w:ascii="Arial" w:hAnsi="Arial" w:cs="Arial"/>
          <w:sz w:val="16"/>
          <w:szCs w:val="16"/>
        </w:rPr>
      </w:pPr>
      <w:r w:rsidRPr="003B7DAA">
        <w:rPr>
          <w:rFonts w:ascii="Arial" w:hAnsi="Arial" w:cs="Arial"/>
          <w:sz w:val="16"/>
          <w:szCs w:val="16"/>
        </w:rPr>
        <w:t>9.7 As sanções são independentes e a aplicação de uma não exclui a das outras.</w:t>
      </w: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1A2DA5">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1A2DA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1A2DA5">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1A2DA5" w:rsidP="009D2314">
      <w:pPr>
        <w:jc w:val="both"/>
        <w:rPr>
          <w:rFonts w:ascii="Arial" w:hAnsi="Arial" w:cs="Arial"/>
          <w:color w:val="000000"/>
          <w:sz w:val="16"/>
          <w:szCs w:val="16"/>
        </w:rPr>
      </w:pPr>
      <w:r>
        <w:rPr>
          <w:rFonts w:ascii="Arial" w:hAnsi="Arial" w:cs="Arial"/>
          <w:color w:val="000000"/>
          <w:sz w:val="16"/>
          <w:szCs w:val="16"/>
        </w:rPr>
        <w:t>15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1A2DA5"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1A2DA5"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1A2DA5" w:rsidP="008353D1">
      <w:pPr>
        <w:jc w:val="both"/>
        <w:rPr>
          <w:rFonts w:ascii="Arial" w:hAnsi="Arial" w:cs="Arial"/>
          <w:color w:val="000000"/>
          <w:sz w:val="16"/>
          <w:szCs w:val="16"/>
        </w:rPr>
      </w:pPr>
      <w:r>
        <w:rPr>
          <w:rFonts w:ascii="Arial" w:hAnsi="Arial" w:cs="Arial"/>
          <w:color w:val="000000"/>
          <w:sz w:val="16"/>
          <w:szCs w:val="16"/>
        </w:rPr>
        <w:t>15</w:t>
      </w:r>
      <w:bookmarkStart w:id="1" w:name="_GoBack"/>
      <w:bookmarkEnd w:id="1"/>
      <w:r w:rsidR="008353D1">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C3F6E">
        <w:rPr>
          <w:rFonts w:ascii="Arial" w:hAnsi="Arial" w:cs="Arial"/>
          <w:b/>
          <w:bCs/>
          <w:color w:val="000000"/>
          <w:sz w:val="16"/>
          <w:szCs w:val="16"/>
        </w:rPr>
        <w:t xml:space="preserve">        </w:t>
      </w:r>
      <w:r>
        <w:rPr>
          <w:rFonts w:ascii="Arial" w:hAnsi="Arial" w:cs="Arial"/>
          <w:b/>
          <w:bCs/>
          <w:color w:val="000000"/>
          <w:sz w:val="16"/>
          <w:szCs w:val="16"/>
        </w:rPr>
        <w:t xml:space="preserve">   </w:t>
      </w:r>
      <w:r w:rsidR="00BC3F6E">
        <w:rPr>
          <w:rFonts w:ascii="Arial" w:hAnsi="Arial" w:cs="Arial"/>
          <w:b/>
          <w:bCs/>
          <w:color w:val="000000"/>
          <w:sz w:val="16"/>
          <w:szCs w:val="16"/>
        </w:rPr>
        <w:t>MARCIA CARVALO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B27C89" w:rsidP="00526790">
      <w:pPr>
        <w:ind w:right="47"/>
        <w:jc w:val="both"/>
        <w:rPr>
          <w:rFonts w:ascii="Arial" w:hAnsi="Arial" w:cs="Arial"/>
          <w:b/>
          <w:bCs/>
          <w:color w:val="000000"/>
          <w:sz w:val="8"/>
          <w:szCs w:val="8"/>
        </w:rPr>
      </w:pPr>
      <w:r>
        <w:rPr>
          <w:rFonts w:ascii="Arial" w:hAnsi="Arial" w:cs="Arial"/>
          <w:b/>
          <w:bCs/>
          <w:color w:val="000000"/>
          <w:sz w:val="8"/>
          <w:szCs w:val="8"/>
        </w:rPr>
        <w:t>ST</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68F7CAF"/>
    <w:multiLevelType w:val="hybridMultilevel"/>
    <w:tmpl w:val="7AEC1CBE"/>
    <w:lvl w:ilvl="0" w:tplc="04160001">
      <w:start w:val="1"/>
      <w:numFmt w:val="bullet"/>
      <w:lvlText w:val=""/>
      <w:lvlJc w:val="left"/>
      <w:pPr>
        <w:tabs>
          <w:tab w:val="num" w:pos="720"/>
        </w:tabs>
        <w:ind w:left="720" w:hanging="360"/>
      </w:pPr>
      <w:rPr>
        <w:rFonts w:ascii="Symbol" w:hAnsi="Symbol" w:hint="default"/>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8"/>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5"/>
  </w:num>
  <w:num w:numId="14">
    <w:abstractNumId w:val="31"/>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6"/>
  </w:num>
  <w:num w:numId="25">
    <w:abstractNumId w:val="14"/>
  </w:num>
  <w:num w:numId="26">
    <w:abstractNumId w:val="11"/>
  </w:num>
  <w:num w:numId="27">
    <w:abstractNumId w:val="30"/>
  </w:num>
  <w:num w:numId="28">
    <w:abstractNumId w:val="27"/>
  </w:num>
  <w:num w:numId="29">
    <w:abstractNumId w:val="7"/>
  </w:num>
  <w:num w:numId="30">
    <w:abstractNumId w:val="20"/>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2DA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0048"/>
    <w:rsid w:val="0027115B"/>
    <w:rsid w:val="00282B83"/>
    <w:rsid w:val="0028355D"/>
    <w:rsid w:val="00284428"/>
    <w:rsid w:val="00286A75"/>
    <w:rsid w:val="00286A8F"/>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B7DAA"/>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27C89"/>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3E77"/>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16E25-D887-4E7F-B171-756E71DC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2292</Words>
  <Characters>12803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2017-09-27T15:12:00Z</cp:lastPrinted>
  <dcterms:created xsi:type="dcterms:W3CDTF">2017-11-28T15:29:00Z</dcterms:created>
  <dcterms:modified xsi:type="dcterms:W3CDTF">2017-11-29T15:17:00Z</dcterms:modified>
</cp:coreProperties>
</file>