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6E2519">
        <w:rPr>
          <w:rFonts w:ascii="Arial" w:hAnsi="Arial" w:cs="Arial"/>
          <w:sz w:val="16"/>
          <w:szCs w:val="16"/>
        </w:rPr>
        <w:t>276</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6E2519">
        <w:rPr>
          <w:rFonts w:ascii="Arial" w:hAnsi="Arial" w:cs="Arial"/>
          <w:bCs/>
          <w:sz w:val="16"/>
          <w:szCs w:val="16"/>
        </w:rPr>
        <w:t>510</w:t>
      </w:r>
      <w:r w:rsidR="008C7613" w:rsidRPr="001606A8">
        <w:rPr>
          <w:rFonts w:ascii="Arial" w:hAnsi="Arial" w:cs="Arial"/>
          <w:bCs/>
          <w:sz w:val="16"/>
          <w:szCs w:val="16"/>
        </w:rPr>
        <w:t>/</w:t>
      </w:r>
      <w:r w:rsidR="008C7613" w:rsidRPr="008353D1">
        <w:rPr>
          <w:rFonts w:ascii="Arial" w:hAnsi="Arial" w:cs="Arial"/>
          <w:bCs/>
          <w:sz w:val="16"/>
          <w:szCs w:val="16"/>
        </w:rPr>
        <w:t>201</w:t>
      </w:r>
      <w:r w:rsidR="002E3228">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6E2519">
        <w:rPr>
          <w:rFonts w:ascii="Arial" w:hAnsi="Arial" w:cs="Arial"/>
          <w:bCs/>
          <w:sz w:val="18"/>
          <w:szCs w:val="18"/>
        </w:rPr>
        <w:t xml:space="preserve"> </w:t>
      </w:r>
      <w:hyperlink r:id="rId9" w:tgtFrame="ifrVisualizacao" w:history="1">
        <w:r w:rsidR="006E2519" w:rsidRPr="006E2519">
          <w:rPr>
            <w:rStyle w:val="Hyperlink"/>
            <w:rFonts w:ascii="Arial" w:eastAsiaTheme="majorEastAsia" w:hAnsi="Arial" w:cs="Arial"/>
            <w:color w:val="000000"/>
            <w:sz w:val="18"/>
            <w:szCs w:val="18"/>
            <w:u w:val="none"/>
          </w:rPr>
          <w:t>0036.005996/2017-99</w:t>
        </w:r>
      </w:hyperlink>
    </w:p>
    <w:p w:rsidR="009D2314" w:rsidRPr="00587C0E" w:rsidRDefault="009D2314" w:rsidP="00F73958">
      <w:pPr>
        <w:pStyle w:val="Cabealho"/>
        <w:jc w:val="both"/>
        <w:rPr>
          <w:rFonts w:ascii="Arial" w:hAnsi="Arial" w:cs="Arial"/>
          <w:b/>
          <w:sz w:val="16"/>
          <w:szCs w:val="16"/>
        </w:rPr>
      </w:pPr>
    </w:p>
    <w:p w:rsidR="009D2314" w:rsidRPr="00B27C89"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B27C89" w:rsidRPr="00B27C89">
        <w:rPr>
          <w:rFonts w:ascii="Arial" w:hAnsi="Arial" w:cs="Arial"/>
          <w:sz w:val="16"/>
          <w:szCs w:val="16"/>
          <w:lang w:val="pt-PT" w:eastAsia="pt-PT"/>
        </w:rPr>
        <w:t xml:space="preserve">para futura e eventual </w:t>
      </w:r>
      <w:r w:rsidR="00A07970" w:rsidRPr="00A07970">
        <w:rPr>
          <w:rFonts w:ascii="Arial" w:hAnsi="Arial" w:cs="Arial"/>
          <w:sz w:val="16"/>
          <w:szCs w:val="16"/>
        </w:rPr>
        <w:t>aquisição de material de consumo (luva cirúrgica descartável estéril, nº 6.5 confeccionada em látex natural, textura uniforme, formato anatômico, luva cirúrgica descartável estéril, nº 7.0 confeccionada em látex natural, textura uniforme, formato anatômico, luva cirúrgica descartável estéril, nº 7.5 confeccionada em látex natural, textura uniforme, formato anatômico e outros), para atender demanda necessária de todas as unidades de Saúde</w:t>
      </w:r>
      <w:r w:rsidR="001606A8" w:rsidRPr="00B27C89">
        <w:rPr>
          <w:rFonts w:ascii="Arial" w:hAnsi="Arial" w:cs="Arial"/>
          <w:sz w:val="16"/>
          <w:szCs w:val="16"/>
        </w:rPr>
        <w:t>, a pedido da Secretaria de Estado da Saúde – SESAU/RO</w:t>
      </w:r>
      <w:r w:rsidR="00954AB0" w:rsidRPr="00B27C89">
        <w:rPr>
          <w:rFonts w:ascii="Arial" w:hAnsi="Arial" w:cs="Arial"/>
          <w:kern w:val="36"/>
          <w:sz w:val="16"/>
          <w:szCs w:val="16"/>
        </w:rPr>
        <w:t>,</w:t>
      </w:r>
      <w:r w:rsidR="00AF3F5D" w:rsidRPr="00B27C89">
        <w:rPr>
          <w:rFonts w:ascii="Arial" w:hAnsi="Arial" w:cs="Arial"/>
          <w:kern w:val="36"/>
          <w:sz w:val="16"/>
          <w:szCs w:val="16"/>
        </w:rPr>
        <w:t xml:space="preserve"> </w:t>
      </w:r>
      <w:r w:rsidR="00DF042C" w:rsidRPr="00B27C89">
        <w:rPr>
          <w:rFonts w:ascii="Arial" w:hAnsi="Arial" w:cs="Arial"/>
          <w:sz w:val="16"/>
          <w:szCs w:val="16"/>
        </w:rPr>
        <w:t xml:space="preserve">por um período de 12 (doze) meses, </w:t>
      </w:r>
      <w:r w:rsidRPr="00B27C89">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B27C89">
        <w:rPr>
          <w:rFonts w:ascii="Arial" w:hAnsi="Arial" w:cs="Arial"/>
          <w:sz w:val="16"/>
          <w:szCs w:val="16"/>
        </w:rPr>
        <w:t>8.340/13</w:t>
      </w:r>
      <w:r w:rsidRPr="00B27C89">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Pr="00B27C89"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B27C89" w:rsidRPr="00B27C89">
        <w:rPr>
          <w:rFonts w:ascii="Arial" w:hAnsi="Arial" w:cs="Arial"/>
          <w:sz w:val="16"/>
          <w:szCs w:val="16"/>
          <w:lang w:val="pt-PT" w:eastAsia="pt-PT"/>
        </w:rPr>
        <w:t xml:space="preserve">para futura e eventual </w:t>
      </w:r>
      <w:r w:rsidR="00A07970" w:rsidRPr="00A07970">
        <w:rPr>
          <w:rFonts w:ascii="Arial" w:hAnsi="Arial" w:cs="Arial"/>
          <w:sz w:val="16"/>
          <w:szCs w:val="16"/>
        </w:rPr>
        <w:t>aquisição de material de consumo (luva cirúrgica descartável estéril, nº 6.5 confeccionada em látex natural, textura uniforme, formato anatômico, luva c</w:t>
      </w:r>
      <w:bookmarkStart w:id="1" w:name="_GoBack"/>
      <w:bookmarkEnd w:id="1"/>
      <w:r w:rsidR="00A07970" w:rsidRPr="00A07970">
        <w:rPr>
          <w:rFonts w:ascii="Arial" w:hAnsi="Arial" w:cs="Arial"/>
          <w:sz w:val="16"/>
          <w:szCs w:val="16"/>
        </w:rPr>
        <w:t>irúrgica descartável estéril, nº 7.0 confeccionada em látex natural, textura uniforme, formato anatômico, luva cirúrgica descartável estéril, nº 7.5 confeccionada em látex natural, textura uniforme, formato anatômico e outros), para atender demanda necessária de todas as unidades de Saúde</w:t>
      </w:r>
      <w:r w:rsidR="00B27C89" w:rsidRPr="00B27C89">
        <w:rPr>
          <w:rFonts w:ascii="Arial" w:hAnsi="Arial" w:cs="Arial"/>
          <w:sz w:val="16"/>
          <w:szCs w:val="16"/>
        </w:rPr>
        <w:t>, a pedido da Secretaria de Estado da Saúde – SESAU/RO.</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B27C89" w:rsidRDefault="004B50C5" w:rsidP="00FD59F7">
      <w:pPr>
        <w:jc w:val="both"/>
        <w:rPr>
          <w:rFonts w:ascii="Arial" w:hAnsi="Arial" w:cs="Arial"/>
          <w:sz w:val="16"/>
          <w:szCs w:val="16"/>
          <w:lang w:val="pt-PT" w:eastAsia="pt-PT"/>
        </w:rPr>
      </w:pPr>
      <w:r w:rsidRPr="00B27C89">
        <w:rPr>
          <w:rFonts w:ascii="Arial" w:hAnsi="Arial" w:cs="Arial"/>
          <w:b/>
          <w:bCs/>
          <w:sz w:val="16"/>
          <w:szCs w:val="16"/>
        </w:rPr>
        <w:t>6.3</w:t>
      </w:r>
      <w:r w:rsidR="001643CD" w:rsidRPr="00B27C89">
        <w:rPr>
          <w:rFonts w:ascii="Arial" w:hAnsi="Arial" w:cs="Arial"/>
          <w:bCs/>
          <w:sz w:val="16"/>
          <w:szCs w:val="16"/>
        </w:rPr>
        <w:t>.</w:t>
      </w:r>
      <w:r w:rsidRPr="00B27C89">
        <w:rPr>
          <w:rFonts w:ascii="Arial" w:hAnsi="Arial" w:cs="Arial"/>
          <w:b/>
          <w:bCs/>
          <w:sz w:val="16"/>
          <w:szCs w:val="16"/>
        </w:rPr>
        <w:t xml:space="preserve"> </w:t>
      </w:r>
      <w:r w:rsidR="00F17DD3" w:rsidRPr="00B27C89">
        <w:rPr>
          <w:rFonts w:ascii="Arial" w:hAnsi="Arial" w:cs="Arial"/>
          <w:b/>
          <w:bCs/>
          <w:sz w:val="16"/>
          <w:szCs w:val="16"/>
        </w:rPr>
        <w:t>PRAZO DE ENTREGA</w:t>
      </w:r>
      <w:r w:rsidR="00F17DD3" w:rsidRPr="00B27C89">
        <w:rPr>
          <w:rFonts w:ascii="Arial" w:hAnsi="Arial" w:cs="Arial"/>
          <w:b/>
          <w:sz w:val="16"/>
          <w:szCs w:val="16"/>
        </w:rPr>
        <w:t>:</w:t>
      </w:r>
      <w:r w:rsidR="00AF4E7E" w:rsidRPr="00B27C89">
        <w:rPr>
          <w:rFonts w:ascii="Arial" w:hAnsi="Arial" w:cs="Arial"/>
          <w:bCs/>
          <w:sz w:val="16"/>
          <w:szCs w:val="16"/>
        </w:rPr>
        <w:t xml:space="preserve">  </w:t>
      </w:r>
      <w:r w:rsidR="00C33E77" w:rsidRPr="00B27C89">
        <w:rPr>
          <w:rFonts w:ascii="Arial" w:hAnsi="Arial" w:cs="Arial"/>
          <w:sz w:val="16"/>
          <w:szCs w:val="16"/>
          <w:lang w:val="pt-PT" w:eastAsia="pt-PT"/>
        </w:rPr>
        <w:t>A entrega deverá o</w:t>
      </w:r>
      <w:r w:rsidR="00C33E77" w:rsidRPr="006E2519">
        <w:rPr>
          <w:rFonts w:ascii="Arial" w:hAnsi="Arial" w:cs="Arial"/>
          <w:sz w:val="16"/>
          <w:szCs w:val="16"/>
          <w:lang w:val="pt-PT" w:eastAsia="pt-PT"/>
        </w:rPr>
        <w:t>correr conforme solicitação via requisição da Secretaria de Saúde com definição da quantidade no prazo de até 30 dias após o recebimento da Nota de Empenho</w:t>
      </w:r>
      <w:r w:rsidR="00C33E77" w:rsidRPr="00B27C89">
        <w:rPr>
          <w:rFonts w:ascii="Arial" w:hAnsi="Arial" w:cs="Arial"/>
          <w:sz w:val="16"/>
          <w:szCs w:val="16"/>
          <w:lang w:val="pt-PT" w:eastAsia="pt-PT"/>
        </w:rPr>
        <w:t>.</w:t>
      </w:r>
    </w:p>
    <w:p w:rsidR="00C33E77" w:rsidRPr="00B27C89" w:rsidRDefault="00C33E77" w:rsidP="00FD59F7">
      <w:pPr>
        <w:jc w:val="both"/>
        <w:rPr>
          <w:rFonts w:ascii="Arial" w:hAnsi="Arial" w:cs="Arial"/>
          <w:sz w:val="16"/>
          <w:szCs w:val="16"/>
        </w:rPr>
      </w:pPr>
    </w:p>
    <w:p w:rsidR="00C33E77" w:rsidRDefault="00F23872" w:rsidP="00C33E77">
      <w:pPr>
        <w:autoSpaceDE w:val="0"/>
        <w:autoSpaceDN w:val="0"/>
        <w:adjustRightInd w:val="0"/>
        <w:jc w:val="both"/>
        <w:rPr>
          <w:color w:val="000000"/>
          <w:sz w:val="22"/>
          <w:szCs w:val="22"/>
          <w:lang w:val="pt-PT"/>
        </w:rPr>
      </w:pPr>
      <w:r w:rsidRPr="00B27C89">
        <w:rPr>
          <w:rFonts w:ascii="Arial" w:hAnsi="Arial" w:cs="Arial"/>
          <w:b/>
          <w:bCs/>
          <w:sz w:val="16"/>
          <w:szCs w:val="16"/>
        </w:rPr>
        <w:t>6</w:t>
      </w:r>
      <w:r w:rsidR="00F111D9" w:rsidRPr="00B27C89">
        <w:rPr>
          <w:rFonts w:ascii="Arial" w:hAnsi="Arial" w:cs="Arial"/>
          <w:b/>
          <w:bCs/>
          <w:sz w:val="16"/>
          <w:szCs w:val="16"/>
        </w:rPr>
        <w:t>.4</w:t>
      </w:r>
      <w:r w:rsidR="001643CD" w:rsidRPr="00B27C89">
        <w:rPr>
          <w:rFonts w:ascii="Arial" w:hAnsi="Arial" w:cs="Arial"/>
          <w:b/>
          <w:bCs/>
          <w:sz w:val="16"/>
          <w:szCs w:val="16"/>
        </w:rPr>
        <w:t>.</w:t>
      </w:r>
      <w:r w:rsidRPr="00B27C89">
        <w:rPr>
          <w:rFonts w:ascii="Arial" w:hAnsi="Arial" w:cs="Arial"/>
          <w:b/>
          <w:bCs/>
          <w:sz w:val="16"/>
          <w:szCs w:val="16"/>
        </w:rPr>
        <w:t xml:space="preserve"> </w:t>
      </w:r>
      <w:r w:rsidR="00AF4E7E" w:rsidRPr="00B27C89">
        <w:rPr>
          <w:rFonts w:ascii="Arial" w:hAnsi="Arial" w:cs="Arial"/>
          <w:b/>
          <w:bCs/>
          <w:sz w:val="16"/>
          <w:szCs w:val="16"/>
        </w:rPr>
        <w:t>LOCAL DE ENTREGA:</w:t>
      </w:r>
      <w:r w:rsidR="00AF4E7E" w:rsidRPr="00B27C89">
        <w:rPr>
          <w:rFonts w:ascii="Arial" w:hAnsi="Arial" w:cs="Arial"/>
          <w:sz w:val="16"/>
          <w:szCs w:val="16"/>
        </w:rPr>
        <w:t xml:space="preserve">  </w:t>
      </w:r>
      <w:r w:rsidR="006E2519" w:rsidRPr="006E2519">
        <w:rPr>
          <w:rFonts w:ascii="Arial" w:hAnsi="Arial" w:cs="Arial"/>
          <w:sz w:val="16"/>
          <w:szCs w:val="16"/>
          <w:lang w:val="pt-PT" w:eastAsia="pt-PT"/>
        </w:rPr>
        <w:t>Os materiais, deverão ser entregues na Central de Abastecimento Farmacêutico - CAF II sito a Rua Aparício Moraes n° 4378, Bairro Industrial, CEP: 76821-240 – Porto Velho/RO. Os dias de funcionamento são de segunda-feira a sexta-feira das 07h30 às 13h30.</w:t>
      </w:r>
    </w:p>
    <w:p w:rsidR="006E2519" w:rsidRDefault="006E2519" w:rsidP="00C33E77">
      <w:pPr>
        <w:autoSpaceDE w:val="0"/>
        <w:autoSpaceDN w:val="0"/>
        <w:adjustRightInd w:val="0"/>
        <w:jc w:val="both"/>
        <w:rPr>
          <w:color w:val="000000"/>
          <w:sz w:val="22"/>
          <w:szCs w:val="22"/>
          <w:lang w:val="pt-PT"/>
        </w:rPr>
      </w:pPr>
    </w:p>
    <w:p w:rsidR="006E2519" w:rsidRDefault="006E2519" w:rsidP="00C33E77">
      <w:pPr>
        <w:autoSpaceDE w:val="0"/>
        <w:autoSpaceDN w:val="0"/>
        <w:adjustRightInd w:val="0"/>
        <w:jc w:val="both"/>
        <w:rPr>
          <w:color w:val="000000"/>
          <w:sz w:val="22"/>
          <w:szCs w:val="22"/>
          <w:lang w:val="pt-PT"/>
        </w:rPr>
      </w:pPr>
    </w:p>
    <w:p w:rsidR="006E2519" w:rsidRPr="00BA4A2B" w:rsidRDefault="006E2519" w:rsidP="006E2519">
      <w:pPr>
        <w:autoSpaceDE w:val="0"/>
        <w:autoSpaceDN w:val="0"/>
        <w:adjustRightInd w:val="0"/>
        <w:jc w:val="both"/>
        <w:rPr>
          <w:color w:val="000000"/>
          <w:sz w:val="22"/>
          <w:szCs w:val="22"/>
          <w:lang w:val="pt-PT"/>
        </w:rPr>
      </w:pPr>
      <w:r>
        <w:rPr>
          <w:b/>
          <w:bCs/>
          <w:color w:val="000000"/>
          <w:sz w:val="22"/>
          <w:szCs w:val="22"/>
          <w:lang w:val="pt-PT"/>
        </w:rPr>
        <w:t>6.4.1</w:t>
      </w:r>
      <w:r w:rsidRPr="00BA4A2B">
        <w:rPr>
          <w:b/>
          <w:bCs/>
          <w:color w:val="000000"/>
          <w:sz w:val="22"/>
          <w:szCs w:val="22"/>
          <w:lang w:val="pt-PT"/>
        </w:rPr>
        <w:t xml:space="preserve"> </w:t>
      </w:r>
      <w:r w:rsidRPr="006E2519">
        <w:rPr>
          <w:rFonts w:ascii="Arial" w:hAnsi="Arial" w:cs="Arial"/>
          <w:sz w:val="16"/>
          <w:szCs w:val="16"/>
          <w:lang w:val="pt-PT" w:eastAsia="pt-PT"/>
        </w:rPr>
        <w:t>Para entrega é necessária realização de prévio agendamento junto ao CAF-II, informações através do e-mail: cafii.requisicao@gmail.com e pelos telefones: (69) 3216-5759 / 3216-5580.</w:t>
      </w:r>
      <w:r w:rsidRPr="00BA4A2B">
        <w:rPr>
          <w:color w:val="000000"/>
          <w:sz w:val="22"/>
          <w:szCs w:val="22"/>
          <w:lang w:val="pt-PT"/>
        </w:rPr>
        <w:t xml:space="preserve"> </w:t>
      </w:r>
    </w:p>
    <w:p w:rsidR="006E2519" w:rsidRPr="00B27C89" w:rsidRDefault="006E2519" w:rsidP="00C33E77">
      <w:pPr>
        <w:autoSpaceDE w:val="0"/>
        <w:autoSpaceDN w:val="0"/>
        <w:adjustRightInd w:val="0"/>
        <w:jc w:val="both"/>
        <w:rPr>
          <w:rFonts w:ascii="Arial" w:hAnsi="Arial" w:cs="Arial"/>
          <w:sz w:val="16"/>
          <w:szCs w:val="16"/>
          <w:lang w:val="pt-PT" w:eastAsia="pt-PT"/>
        </w:rPr>
      </w:pPr>
    </w:p>
    <w:p w:rsidR="001606A8" w:rsidRPr="00C33E77" w:rsidRDefault="001606A8" w:rsidP="00C33E77">
      <w:pPr>
        <w:jc w:val="both"/>
        <w:rPr>
          <w:rFonts w:ascii="Arial" w:hAnsi="Arial" w:cs="Arial"/>
          <w:b/>
          <w:bCs/>
          <w:sz w:val="16"/>
          <w:szCs w:val="16"/>
          <w:lang w:val="pt-PT"/>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lastRenderedPageBreak/>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C33E77" w:rsidRPr="006E2519" w:rsidRDefault="009D2314" w:rsidP="00C33E77">
      <w:pPr>
        <w:pStyle w:val="Lista2"/>
        <w:numPr>
          <w:ilvl w:val="0"/>
          <w:numId w:val="4"/>
        </w:numPr>
        <w:jc w:val="both"/>
        <w:rPr>
          <w:b/>
          <w:bCs/>
          <w:sz w:val="16"/>
          <w:szCs w:val="16"/>
        </w:rPr>
      </w:pPr>
      <w:r w:rsidRPr="00D77649">
        <w:rPr>
          <w:b/>
          <w:bCs/>
          <w:sz w:val="16"/>
          <w:szCs w:val="16"/>
        </w:rPr>
        <w:t xml:space="preserve">DAS SANÇÕES </w:t>
      </w:r>
    </w:p>
    <w:p w:rsidR="006E2519" w:rsidRDefault="006E2519" w:rsidP="006E2519">
      <w:pPr>
        <w:autoSpaceDE w:val="0"/>
        <w:autoSpaceDN w:val="0"/>
        <w:adjustRightInd w:val="0"/>
        <w:jc w:val="both"/>
        <w:rPr>
          <w:b/>
          <w:bCs/>
          <w:color w:val="000000"/>
          <w:sz w:val="22"/>
          <w:szCs w:val="22"/>
          <w:lang w:val="pt-PT"/>
        </w:rPr>
      </w:pPr>
    </w:p>
    <w:p w:rsidR="006E2519" w:rsidRPr="006E2519" w:rsidRDefault="006E2519" w:rsidP="006E2519">
      <w:pPr>
        <w:autoSpaceDE w:val="0"/>
        <w:autoSpaceDN w:val="0"/>
        <w:adjustRightInd w:val="0"/>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.1 Sem prejuízo das sanções cominadas no art. 87, I, 111 e IV, da Lei n° 8.666/93, pela inexecução total ou parcial do contrato, a Administração poderá garantida a prévia e ampla defesa, aplicar à Contratada multa de até 10% (dez por cento) sobre o valor do objeto não entregue. </w:t>
      </w:r>
    </w:p>
    <w:p w:rsidR="006E2519" w:rsidRDefault="006E2519" w:rsidP="006E2519">
      <w:pPr>
        <w:autoSpaceDE w:val="0"/>
        <w:autoSpaceDN w:val="0"/>
        <w:adjustRightInd w:val="0"/>
        <w:jc w:val="both"/>
        <w:rPr>
          <w:b/>
          <w:bCs/>
          <w:color w:val="000000"/>
          <w:sz w:val="22"/>
          <w:szCs w:val="22"/>
          <w:lang w:val="pt-PT"/>
        </w:rPr>
      </w:pPr>
    </w:p>
    <w:p w:rsidR="006E2519" w:rsidRPr="006E2519" w:rsidRDefault="006E2519" w:rsidP="006E2519">
      <w:pPr>
        <w:autoSpaceDE w:val="0"/>
        <w:autoSpaceDN w:val="0"/>
        <w:adjustRightInd w:val="0"/>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.2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6E2519" w:rsidRDefault="006E2519" w:rsidP="006E2519">
      <w:pPr>
        <w:autoSpaceDE w:val="0"/>
        <w:autoSpaceDN w:val="0"/>
        <w:adjustRightInd w:val="0"/>
        <w:jc w:val="both"/>
        <w:rPr>
          <w:b/>
          <w:bCs/>
          <w:color w:val="000000"/>
          <w:sz w:val="22"/>
          <w:szCs w:val="22"/>
          <w:lang w:val="pt-PT"/>
        </w:rPr>
      </w:pPr>
    </w:p>
    <w:p w:rsidR="006E2519" w:rsidRPr="006E2519" w:rsidRDefault="006E2519" w:rsidP="006E2519">
      <w:pPr>
        <w:autoSpaceDE w:val="0"/>
        <w:autoSpaceDN w:val="0"/>
        <w:adjustRightInd w:val="0"/>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.3 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do Cadastro de Fornecedores Estadual, pelo prazo de até 05 (cinco) anos, sem prejuízo das multas previstas no Edital e das demais cominações legais, devendo ser incluída a penalidade no SICAFI e no CAGEFOR (Cadastro Estadual de Fornecedores Impedidos de Licitar). </w:t>
      </w:r>
    </w:p>
    <w:p w:rsidR="006E2519" w:rsidRDefault="006E2519" w:rsidP="006E2519">
      <w:pPr>
        <w:jc w:val="both"/>
        <w:rPr>
          <w:b/>
          <w:bCs/>
          <w:color w:val="000000"/>
          <w:sz w:val="22"/>
          <w:szCs w:val="22"/>
          <w:lang w:val="pt-PT"/>
        </w:rPr>
      </w:pPr>
    </w:p>
    <w:p w:rsidR="006E2519" w:rsidRPr="006E2519" w:rsidRDefault="006E2519" w:rsidP="006E2519">
      <w:pPr>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.4 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à cobrança judicial. </w:t>
      </w:r>
    </w:p>
    <w:p w:rsidR="006E2519" w:rsidRPr="006E2519" w:rsidRDefault="006E2519" w:rsidP="006E2519">
      <w:pPr>
        <w:autoSpaceDE w:val="0"/>
        <w:autoSpaceDN w:val="0"/>
        <w:adjustRightInd w:val="0"/>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.5 As multas previstas nesta serão não eximem a adjudicatária ou contratada da reparação dos eventuais danos, perdas ou prejuízos que seu ato punível venha causar a Administração. </w:t>
      </w:r>
    </w:p>
    <w:p w:rsidR="006E2519" w:rsidRDefault="006E2519" w:rsidP="006E2519">
      <w:pPr>
        <w:autoSpaceDE w:val="0"/>
        <w:autoSpaceDN w:val="0"/>
        <w:adjustRightInd w:val="0"/>
        <w:jc w:val="both"/>
        <w:rPr>
          <w:b/>
          <w:bCs/>
          <w:color w:val="000000"/>
          <w:sz w:val="22"/>
          <w:szCs w:val="22"/>
          <w:lang w:val="pt-PT"/>
        </w:rPr>
      </w:pPr>
    </w:p>
    <w:p w:rsidR="006E2519" w:rsidRPr="006E2519" w:rsidRDefault="006E2519" w:rsidP="006E2519">
      <w:pPr>
        <w:jc w:val="both"/>
        <w:rPr>
          <w:rFonts w:ascii="Arial" w:hAnsi="Arial" w:cs="Arial"/>
          <w:sz w:val="16"/>
          <w:szCs w:val="16"/>
        </w:rPr>
      </w:pPr>
      <w:r w:rsidRPr="006E2519">
        <w:rPr>
          <w:rFonts w:ascii="Arial" w:hAnsi="Arial" w:cs="Arial"/>
          <w:sz w:val="16"/>
          <w:szCs w:val="16"/>
        </w:rPr>
        <w:t>9</w:t>
      </w:r>
      <w:r w:rsidRPr="006E2519">
        <w:rPr>
          <w:rFonts w:ascii="Arial" w:hAnsi="Arial" w:cs="Arial"/>
          <w:sz w:val="16"/>
          <w:szCs w:val="16"/>
        </w:rPr>
        <w:t xml:space="preserve">.6 De acordo com a gravidade do descumprimento, poderá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6E2519" w:rsidRDefault="006E2519" w:rsidP="006E2519">
      <w:pPr>
        <w:autoSpaceDE w:val="0"/>
        <w:autoSpaceDN w:val="0"/>
        <w:adjustRightInd w:val="0"/>
        <w:jc w:val="both"/>
        <w:rPr>
          <w:b/>
          <w:bCs/>
          <w:color w:val="000000"/>
          <w:sz w:val="22"/>
          <w:szCs w:val="22"/>
          <w:lang w:val="pt-PT"/>
        </w:rPr>
      </w:pPr>
    </w:p>
    <w:p w:rsidR="006E2519" w:rsidRPr="00BA4A2B" w:rsidRDefault="006E2519" w:rsidP="006E2519">
      <w:pPr>
        <w:autoSpaceDE w:val="0"/>
        <w:autoSpaceDN w:val="0"/>
        <w:adjustRightInd w:val="0"/>
        <w:jc w:val="both"/>
        <w:rPr>
          <w:color w:val="000000"/>
          <w:sz w:val="22"/>
          <w:szCs w:val="22"/>
          <w:lang w:val="pt-PT"/>
        </w:rPr>
      </w:pPr>
      <w:r w:rsidRPr="005F71BB">
        <w:rPr>
          <w:rFonts w:ascii="Arial" w:hAnsi="Arial" w:cs="Arial"/>
          <w:sz w:val="16"/>
          <w:szCs w:val="16"/>
        </w:rPr>
        <w:t>9</w:t>
      </w:r>
      <w:r w:rsidRPr="006E2519">
        <w:rPr>
          <w:rFonts w:ascii="Arial" w:hAnsi="Arial" w:cs="Arial"/>
          <w:sz w:val="16"/>
          <w:szCs w:val="16"/>
        </w:rPr>
        <w:t>.7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r w:rsidRPr="00BA4A2B">
        <w:rPr>
          <w:color w:val="000000"/>
          <w:sz w:val="22"/>
          <w:szCs w:val="22"/>
          <w:lang w:val="pt-PT"/>
        </w:rPr>
        <w:t xml:space="preserve"> </w:t>
      </w:r>
    </w:p>
    <w:p w:rsidR="006E2519" w:rsidRDefault="006E2519" w:rsidP="006E2519">
      <w:pPr>
        <w:autoSpaceDE w:val="0"/>
        <w:autoSpaceDN w:val="0"/>
        <w:adjustRightInd w:val="0"/>
        <w:jc w:val="both"/>
        <w:rPr>
          <w:b/>
          <w:bCs/>
          <w:color w:val="000000"/>
          <w:sz w:val="22"/>
          <w:szCs w:val="22"/>
          <w:lang w:val="pt-PT"/>
        </w:rPr>
      </w:pP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Pr="005F71BB">
        <w:rPr>
          <w:rFonts w:ascii="Arial" w:hAnsi="Arial" w:cs="Arial"/>
          <w:sz w:val="16"/>
          <w:szCs w:val="16"/>
        </w:rPr>
        <w:t xml:space="preserve">.8 São exemplos de infração administrativa penalizáveis, nos termos da Lei n° 8.666, de 1993, da Lei n° 10.520, de 2002, do Decreto n° 3.555, de 2000, e do Decreto n° 5.450, de 2005: </w:t>
      </w:r>
    </w:p>
    <w:p w:rsidR="006E2519" w:rsidRDefault="006E2519" w:rsidP="006E2519">
      <w:pPr>
        <w:autoSpaceDE w:val="0"/>
        <w:autoSpaceDN w:val="0"/>
        <w:adjustRightInd w:val="0"/>
        <w:jc w:val="both"/>
        <w:rPr>
          <w:b/>
          <w:bCs/>
          <w:color w:val="000000"/>
          <w:sz w:val="22"/>
          <w:szCs w:val="22"/>
          <w:lang w:val="pt-PT"/>
        </w:rPr>
      </w:pP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a) Inexecução total ou parcial do contrato; </w:t>
      </w: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b) Apresentação de documentação falsa; </w:t>
      </w: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c) Comportamento inidôneo; </w:t>
      </w: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d) Fraude fiscal; </w:t>
      </w: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e) Descumprimento de qualquer dos deveres elencados no Edital ou no Contrato.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.9 As sanções serão aplicadas sem prejuízo da responsabilidade civil e criminal que possa ser acionada em desfavor da Contratada, conforme infração cometida e prejuízos causados a administração ou a terceiros. </w:t>
      </w:r>
    </w:p>
    <w:p w:rsidR="006E2519" w:rsidRDefault="006E2519" w:rsidP="006E2519">
      <w:pPr>
        <w:jc w:val="both"/>
        <w:rPr>
          <w:b/>
          <w:bCs/>
          <w:color w:val="000000"/>
          <w:sz w:val="22"/>
          <w:szCs w:val="22"/>
          <w:lang w:val="pt-PT"/>
        </w:rPr>
      </w:pPr>
    </w:p>
    <w:p w:rsidR="006E2519" w:rsidRPr="005F71BB" w:rsidRDefault="006E2519" w:rsidP="005F71BB">
      <w:pPr>
        <w:autoSpaceDE w:val="0"/>
        <w:autoSpaceDN w:val="0"/>
        <w:adjustRightInd w:val="0"/>
        <w:jc w:val="both"/>
        <w:rPr>
          <w:rFonts w:ascii="Arial" w:hAnsi="Arial" w:cs="Arial"/>
          <w:sz w:val="16"/>
          <w:szCs w:val="16"/>
        </w:rPr>
      </w:pPr>
      <w:r w:rsidRPr="005F71BB">
        <w:rPr>
          <w:rFonts w:ascii="Arial" w:hAnsi="Arial" w:cs="Arial"/>
          <w:sz w:val="16"/>
          <w:szCs w:val="16"/>
        </w:rPr>
        <w:t>9</w:t>
      </w:r>
      <w:r w:rsidRPr="005F71BB">
        <w:rPr>
          <w:rFonts w:ascii="Arial" w:hAnsi="Arial" w:cs="Arial"/>
          <w:sz w:val="16"/>
          <w:szCs w:val="16"/>
        </w:rPr>
        <w:t>.10 Para efeito de aplicação de multas, as infrações são atribuídas graus, com percentuais de multa conforme a tabela a seguir, que elenca apenas as principais situações previstas, não eximindo de outras equivalentes que surgirem, conforme o caso:</w:t>
      </w:r>
    </w:p>
    <w:p w:rsidR="006E2519" w:rsidRPr="00BA4A2B" w:rsidRDefault="006E2519" w:rsidP="006E2519">
      <w:pPr>
        <w:jc w:val="both"/>
        <w:rPr>
          <w:sz w:val="22"/>
          <w:szCs w:val="22"/>
        </w:rPr>
      </w:pPr>
    </w:p>
    <w:tbl>
      <w:tblPr>
        <w:tblStyle w:val="Tabelacomgrade"/>
        <w:tblW w:w="5000" w:type="pct"/>
        <w:tblLook w:val="04A0" w:firstRow="1" w:lastRow="0" w:firstColumn="1" w:lastColumn="0" w:noHBand="0" w:noVBand="1"/>
      </w:tblPr>
      <w:tblGrid>
        <w:gridCol w:w="879"/>
        <w:gridCol w:w="7176"/>
        <w:gridCol w:w="1120"/>
        <w:gridCol w:w="1758"/>
      </w:tblGrid>
      <w:tr w:rsidR="006E2519" w:rsidRPr="00BA4A2B" w:rsidTr="008A0B34">
        <w:tc>
          <w:tcPr>
            <w:tcW w:w="402" w:type="pct"/>
          </w:tcPr>
          <w:p w:rsidR="006E2519" w:rsidRPr="00BA4A2B" w:rsidRDefault="006E2519" w:rsidP="008A0B34">
            <w:pPr>
              <w:spacing w:before="97"/>
              <w:ind w:right="-23"/>
              <w:jc w:val="center"/>
              <w:rPr>
                <w:b/>
                <w:sz w:val="22"/>
                <w:szCs w:val="22"/>
              </w:rPr>
            </w:pPr>
            <w:r w:rsidRPr="00BA4A2B">
              <w:rPr>
                <w:b/>
                <w:sz w:val="22"/>
                <w:szCs w:val="22"/>
              </w:rPr>
              <w:t>ITEM</w:t>
            </w:r>
          </w:p>
        </w:tc>
        <w:tc>
          <w:tcPr>
            <w:tcW w:w="3282" w:type="pct"/>
          </w:tcPr>
          <w:p w:rsidR="006E2519" w:rsidRPr="00BA4A2B" w:rsidRDefault="006E2519" w:rsidP="008A0B34">
            <w:pPr>
              <w:spacing w:before="97"/>
              <w:ind w:right="-23"/>
              <w:jc w:val="center"/>
              <w:rPr>
                <w:b/>
                <w:sz w:val="22"/>
                <w:szCs w:val="22"/>
              </w:rPr>
            </w:pPr>
            <w:r w:rsidRPr="00BA4A2B">
              <w:rPr>
                <w:b/>
                <w:sz w:val="22"/>
                <w:szCs w:val="22"/>
              </w:rPr>
              <w:t>DESCRIÇÃO DA INFRAÇÃO</w:t>
            </w:r>
          </w:p>
        </w:tc>
        <w:tc>
          <w:tcPr>
            <w:tcW w:w="512" w:type="pct"/>
          </w:tcPr>
          <w:p w:rsidR="006E2519" w:rsidRPr="00BA4A2B" w:rsidRDefault="006E2519" w:rsidP="008A0B34">
            <w:pPr>
              <w:spacing w:before="97"/>
              <w:ind w:right="-23"/>
              <w:jc w:val="center"/>
              <w:rPr>
                <w:b/>
                <w:sz w:val="22"/>
                <w:szCs w:val="22"/>
              </w:rPr>
            </w:pPr>
            <w:r w:rsidRPr="00BA4A2B">
              <w:rPr>
                <w:b/>
                <w:sz w:val="22"/>
                <w:szCs w:val="22"/>
              </w:rPr>
              <w:t>GRAU</w:t>
            </w:r>
          </w:p>
        </w:tc>
        <w:tc>
          <w:tcPr>
            <w:tcW w:w="804" w:type="pct"/>
          </w:tcPr>
          <w:p w:rsidR="006E2519" w:rsidRPr="00BA4A2B" w:rsidRDefault="006E2519" w:rsidP="008A0B34">
            <w:pPr>
              <w:spacing w:before="97"/>
              <w:ind w:right="-23"/>
              <w:jc w:val="center"/>
              <w:rPr>
                <w:b/>
                <w:sz w:val="22"/>
                <w:szCs w:val="22"/>
              </w:rPr>
            </w:pPr>
            <w:r w:rsidRPr="00BA4A2B">
              <w:rPr>
                <w:b/>
                <w:sz w:val="22"/>
                <w:szCs w:val="22"/>
              </w:rPr>
              <w:t>MULTA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1</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 xml:space="preserve">Permitir situação que crie a possibilidade ou cause </w:t>
            </w:r>
            <w:proofErr w:type="spellStart"/>
            <w:r w:rsidRPr="00BA4A2B">
              <w:rPr>
                <w:sz w:val="22"/>
                <w:szCs w:val="22"/>
              </w:rPr>
              <w:t>dano</w:t>
            </w:r>
            <w:proofErr w:type="spellEnd"/>
            <w:r w:rsidRPr="00BA4A2B">
              <w:rPr>
                <w:sz w:val="22"/>
                <w:szCs w:val="22"/>
              </w:rPr>
              <w:t xml:space="preserve"> físico, lesão corporal ou consequências letais;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06</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4,0%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2</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Usar indevidamente informações sigilosas a que teve acesso;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06</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4,0%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3</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 xml:space="preserve">Suspender ou interromper, salvo por motivo de força maior ou caso fortuito, a entrega dos materiais médicos hospitalares, por cada solicitação (NE). </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05</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3,2%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4</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Destruir ou danificar documentos por culpa ou dolo de seus agentes;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05</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3,2%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5</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Entregar os materiais médicos hospitalares incompletos ou deixar de providenciar recomposição complementar;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02</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0,4%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6</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Fornecer informação pérfida referente à entrega dos materiais médicos hospitalares,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02</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0,4% por dia</w:t>
            </w:r>
          </w:p>
        </w:tc>
      </w:tr>
      <w:tr w:rsidR="006E2519" w:rsidRPr="00BA4A2B" w:rsidTr="008A0B34">
        <w:tc>
          <w:tcPr>
            <w:tcW w:w="5000" w:type="pct"/>
            <w:gridSpan w:val="4"/>
          </w:tcPr>
          <w:p w:rsidR="006E2519" w:rsidRPr="00BA4A2B" w:rsidRDefault="006E2519" w:rsidP="008A0B34">
            <w:pPr>
              <w:spacing w:before="97"/>
              <w:ind w:right="-23"/>
              <w:jc w:val="both"/>
              <w:rPr>
                <w:b/>
                <w:sz w:val="22"/>
                <w:szCs w:val="22"/>
              </w:rPr>
            </w:pPr>
            <w:r w:rsidRPr="00BA4A2B">
              <w:rPr>
                <w:b/>
                <w:bCs/>
                <w:sz w:val="22"/>
                <w:szCs w:val="22"/>
              </w:rPr>
              <w:t>Para os itens a seguir, deixar de:</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7</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Efetuar o pagamento de seguros, encargos fiscais e sociais, assim como quaisquer despesas diretas e/ou indiretas relacionadas à entrega dos materiais médicos hospitalares; por dia e por ocorrência;</w:t>
            </w:r>
          </w:p>
        </w:tc>
        <w:tc>
          <w:tcPr>
            <w:tcW w:w="512" w:type="pct"/>
            <w:vAlign w:val="center"/>
          </w:tcPr>
          <w:p w:rsidR="006E2519" w:rsidRPr="00BA4A2B" w:rsidRDefault="006E2519" w:rsidP="008A0B34">
            <w:pPr>
              <w:autoSpaceDE w:val="0"/>
              <w:autoSpaceDN w:val="0"/>
              <w:adjustRightInd w:val="0"/>
              <w:jc w:val="center"/>
              <w:rPr>
                <w:sz w:val="22"/>
                <w:szCs w:val="22"/>
              </w:rPr>
            </w:pPr>
            <w:r w:rsidRPr="00BA4A2B">
              <w:rPr>
                <w:b/>
                <w:bCs/>
                <w:sz w:val="22"/>
                <w:szCs w:val="22"/>
              </w:rPr>
              <w:t>05</w:t>
            </w:r>
          </w:p>
        </w:tc>
        <w:tc>
          <w:tcPr>
            <w:tcW w:w="804" w:type="pct"/>
            <w:vAlign w:val="center"/>
          </w:tcPr>
          <w:p w:rsidR="006E2519" w:rsidRPr="00BA4A2B" w:rsidRDefault="006E2519" w:rsidP="008A0B34">
            <w:pPr>
              <w:autoSpaceDE w:val="0"/>
              <w:autoSpaceDN w:val="0"/>
              <w:adjustRightInd w:val="0"/>
              <w:jc w:val="both"/>
              <w:rPr>
                <w:sz w:val="22"/>
                <w:szCs w:val="22"/>
              </w:rPr>
            </w:pPr>
            <w:r w:rsidRPr="00BA4A2B">
              <w:rPr>
                <w:b/>
                <w:bCs/>
                <w:sz w:val="22"/>
                <w:szCs w:val="22"/>
              </w:rPr>
              <w:t>3,2%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8</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 xml:space="preserve">Cumprir prazo previamente estabelecido com a fiscalização para fornecimento dos materiais médicos hospitalares; por unidade de tempo definida para determinar o atraso. </w:t>
            </w:r>
          </w:p>
        </w:tc>
        <w:tc>
          <w:tcPr>
            <w:tcW w:w="512" w:type="pct"/>
            <w:vAlign w:val="center"/>
          </w:tcPr>
          <w:p w:rsidR="006E2519" w:rsidRPr="00BA4A2B" w:rsidRDefault="006E2519" w:rsidP="008A0B34">
            <w:pPr>
              <w:autoSpaceDE w:val="0"/>
              <w:autoSpaceDN w:val="0"/>
              <w:adjustRightInd w:val="0"/>
              <w:jc w:val="center"/>
              <w:rPr>
                <w:b/>
                <w:bCs/>
                <w:sz w:val="22"/>
                <w:szCs w:val="22"/>
              </w:rPr>
            </w:pPr>
            <w:r w:rsidRPr="00BA4A2B">
              <w:rPr>
                <w:b/>
                <w:bCs/>
                <w:sz w:val="22"/>
                <w:szCs w:val="22"/>
              </w:rPr>
              <w:t>03</w:t>
            </w:r>
          </w:p>
        </w:tc>
        <w:tc>
          <w:tcPr>
            <w:tcW w:w="804" w:type="pct"/>
            <w:vAlign w:val="center"/>
          </w:tcPr>
          <w:p w:rsidR="006E2519" w:rsidRPr="00BA4A2B" w:rsidRDefault="006E2519" w:rsidP="008A0B34">
            <w:pPr>
              <w:autoSpaceDE w:val="0"/>
              <w:autoSpaceDN w:val="0"/>
              <w:adjustRightInd w:val="0"/>
              <w:jc w:val="both"/>
              <w:rPr>
                <w:b/>
                <w:bCs/>
                <w:sz w:val="22"/>
                <w:szCs w:val="22"/>
              </w:rPr>
            </w:pPr>
            <w:r w:rsidRPr="00BA4A2B">
              <w:rPr>
                <w:b/>
                <w:bCs/>
                <w:sz w:val="22"/>
                <w:szCs w:val="22"/>
              </w:rPr>
              <w:t>0,8%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9</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Cumprir quaisquer dos itens do Edital e anexos, mesmo que não previstos nesta tabela de multas, após reincidência formalmente notificada pela fiscalização; por ocorrência.</w:t>
            </w:r>
          </w:p>
        </w:tc>
        <w:tc>
          <w:tcPr>
            <w:tcW w:w="512" w:type="pct"/>
            <w:vAlign w:val="center"/>
          </w:tcPr>
          <w:p w:rsidR="006E2519" w:rsidRPr="00BA4A2B" w:rsidRDefault="006E2519" w:rsidP="008A0B34">
            <w:pPr>
              <w:autoSpaceDE w:val="0"/>
              <w:autoSpaceDN w:val="0"/>
              <w:adjustRightInd w:val="0"/>
              <w:jc w:val="center"/>
              <w:rPr>
                <w:b/>
                <w:bCs/>
                <w:sz w:val="22"/>
                <w:szCs w:val="22"/>
              </w:rPr>
            </w:pPr>
            <w:r w:rsidRPr="00BA4A2B">
              <w:rPr>
                <w:b/>
                <w:bCs/>
                <w:sz w:val="22"/>
                <w:szCs w:val="22"/>
              </w:rPr>
              <w:t>03</w:t>
            </w:r>
          </w:p>
        </w:tc>
        <w:tc>
          <w:tcPr>
            <w:tcW w:w="804" w:type="pct"/>
            <w:vAlign w:val="center"/>
          </w:tcPr>
          <w:p w:rsidR="006E2519" w:rsidRPr="00BA4A2B" w:rsidRDefault="006E2519" w:rsidP="008A0B34">
            <w:pPr>
              <w:autoSpaceDE w:val="0"/>
              <w:autoSpaceDN w:val="0"/>
              <w:adjustRightInd w:val="0"/>
              <w:jc w:val="both"/>
              <w:rPr>
                <w:b/>
                <w:bCs/>
                <w:sz w:val="22"/>
                <w:szCs w:val="22"/>
              </w:rPr>
            </w:pPr>
            <w:r w:rsidRPr="00BA4A2B">
              <w:rPr>
                <w:b/>
                <w:bCs/>
                <w:sz w:val="22"/>
                <w:szCs w:val="22"/>
              </w:rPr>
              <w:t>0,8%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10</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Iniciar a entrega dos materiais médicos hospitalares nos prazos estabelecidos, observados os limites mínimos estabelecidos no Termo de Referência; por ocorrência.</w:t>
            </w:r>
          </w:p>
        </w:tc>
        <w:tc>
          <w:tcPr>
            <w:tcW w:w="512" w:type="pct"/>
            <w:vAlign w:val="center"/>
          </w:tcPr>
          <w:p w:rsidR="006E2519" w:rsidRPr="00BA4A2B" w:rsidRDefault="006E2519" w:rsidP="008A0B34">
            <w:pPr>
              <w:autoSpaceDE w:val="0"/>
              <w:autoSpaceDN w:val="0"/>
              <w:adjustRightInd w:val="0"/>
              <w:jc w:val="center"/>
              <w:rPr>
                <w:b/>
                <w:bCs/>
                <w:sz w:val="22"/>
                <w:szCs w:val="22"/>
              </w:rPr>
            </w:pPr>
            <w:r w:rsidRPr="00BA4A2B">
              <w:rPr>
                <w:b/>
                <w:bCs/>
                <w:sz w:val="22"/>
                <w:szCs w:val="22"/>
              </w:rPr>
              <w:t>02</w:t>
            </w:r>
          </w:p>
        </w:tc>
        <w:tc>
          <w:tcPr>
            <w:tcW w:w="804" w:type="pct"/>
            <w:vAlign w:val="center"/>
          </w:tcPr>
          <w:p w:rsidR="006E2519" w:rsidRPr="00BA4A2B" w:rsidRDefault="006E2519" w:rsidP="008A0B34">
            <w:pPr>
              <w:autoSpaceDE w:val="0"/>
              <w:autoSpaceDN w:val="0"/>
              <w:adjustRightInd w:val="0"/>
              <w:jc w:val="both"/>
              <w:rPr>
                <w:b/>
                <w:bCs/>
                <w:sz w:val="22"/>
                <w:szCs w:val="22"/>
              </w:rPr>
            </w:pPr>
            <w:r w:rsidRPr="00BA4A2B">
              <w:rPr>
                <w:b/>
                <w:bCs/>
                <w:sz w:val="22"/>
                <w:szCs w:val="22"/>
              </w:rPr>
              <w:t>0,4% por dia</w:t>
            </w:r>
          </w:p>
        </w:tc>
      </w:tr>
      <w:tr w:rsidR="006E2519" w:rsidRPr="00BA4A2B" w:rsidTr="008A0B34">
        <w:tc>
          <w:tcPr>
            <w:tcW w:w="402" w:type="pct"/>
          </w:tcPr>
          <w:p w:rsidR="006E2519" w:rsidRPr="00BA4A2B" w:rsidRDefault="006E2519" w:rsidP="008A0B34">
            <w:pPr>
              <w:spacing w:before="97"/>
              <w:ind w:right="-23"/>
              <w:jc w:val="both"/>
              <w:rPr>
                <w:b/>
                <w:sz w:val="22"/>
                <w:szCs w:val="22"/>
              </w:rPr>
            </w:pPr>
            <w:r w:rsidRPr="00BA4A2B">
              <w:rPr>
                <w:b/>
                <w:sz w:val="22"/>
                <w:szCs w:val="22"/>
              </w:rPr>
              <w:t>11</w:t>
            </w:r>
          </w:p>
        </w:tc>
        <w:tc>
          <w:tcPr>
            <w:tcW w:w="3282" w:type="pct"/>
            <w:vAlign w:val="center"/>
          </w:tcPr>
          <w:p w:rsidR="006E2519" w:rsidRPr="00BA4A2B" w:rsidRDefault="006E2519" w:rsidP="008A0B34">
            <w:pPr>
              <w:autoSpaceDE w:val="0"/>
              <w:autoSpaceDN w:val="0"/>
              <w:adjustRightInd w:val="0"/>
              <w:jc w:val="both"/>
              <w:rPr>
                <w:sz w:val="22"/>
                <w:szCs w:val="22"/>
              </w:rPr>
            </w:pPr>
            <w:r w:rsidRPr="00BA4A2B">
              <w:rPr>
                <w:sz w:val="22"/>
                <w:szCs w:val="22"/>
              </w:rPr>
              <w:t>Manter a documentação de habilitação atualizada; por item, por ocorrência.</w:t>
            </w:r>
          </w:p>
        </w:tc>
        <w:tc>
          <w:tcPr>
            <w:tcW w:w="512" w:type="pct"/>
            <w:vAlign w:val="center"/>
          </w:tcPr>
          <w:p w:rsidR="006E2519" w:rsidRPr="00BA4A2B" w:rsidRDefault="006E2519" w:rsidP="008A0B34">
            <w:pPr>
              <w:autoSpaceDE w:val="0"/>
              <w:autoSpaceDN w:val="0"/>
              <w:adjustRightInd w:val="0"/>
              <w:jc w:val="center"/>
              <w:rPr>
                <w:b/>
                <w:bCs/>
                <w:sz w:val="22"/>
                <w:szCs w:val="22"/>
              </w:rPr>
            </w:pPr>
            <w:r w:rsidRPr="00BA4A2B">
              <w:rPr>
                <w:b/>
                <w:bCs/>
                <w:sz w:val="22"/>
                <w:szCs w:val="22"/>
              </w:rPr>
              <w:t>01</w:t>
            </w:r>
          </w:p>
        </w:tc>
        <w:tc>
          <w:tcPr>
            <w:tcW w:w="804" w:type="pct"/>
            <w:vAlign w:val="center"/>
          </w:tcPr>
          <w:p w:rsidR="006E2519" w:rsidRPr="00BA4A2B" w:rsidRDefault="006E2519" w:rsidP="008A0B34">
            <w:pPr>
              <w:autoSpaceDE w:val="0"/>
              <w:autoSpaceDN w:val="0"/>
              <w:adjustRightInd w:val="0"/>
              <w:jc w:val="both"/>
              <w:rPr>
                <w:b/>
                <w:bCs/>
                <w:sz w:val="22"/>
                <w:szCs w:val="22"/>
              </w:rPr>
            </w:pPr>
            <w:r w:rsidRPr="00BA4A2B">
              <w:rPr>
                <w:b/>
                <w:bCs/>
                <w:sz w:val="22"/>
                <w:szCs w:val="22"/>
              </w:rPr>
              <w:t>0,2% por dia</w:t>
            </w:r>
          </w:p>
        </w:tc>
      </w:tr>
    </w:tbl>
    <w:p w:rsidR="006E2519" w:rsidRPr="00BA4A2B" w:rsidRDefault="006E2519" w:rsidP="006E2519">
      <w:pPr>
        <w:jc w:val="both"/>
        <w:rPr>
          <w:b/>
          <w:sz w:val="22"/>
          <w:szCs w:val="22"/>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.11 As sanções aqui previstas poderão ser aplicadas concomitantemente, facultada a defesa previa do interessado, no respectivo processo, no prazo de 05 (cinco) dias úteis.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.12 Após 30 (trinta) dias da falta de execução do objeto será considerada inexecução total do contrato, o que ensejara a rescisão contratual.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.13 As sanções de natureza pecuniária serão diretamente descontadas de créditos que eventualmente detenha a CONTRATADA ou efetuada a sua cobrança na forma prevista em lei.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.14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.15 A autoridade competente, na aplicação das sanções, levará em considerarão a gravidade da conduta do infrator, o caráter educativo da pena, bem como o dano causado a Administração, observado o princípio da proporcionalidade.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.16 A sanção será obrigatoriamente registrada no Sistema de Cadastramento Unificado de Fornecedores - SICAF, bem como em sistemas Estaduais. </w:t>
      </w:r>
    </w:p>
    <w:p w:rsidR="006E2519" w:rsidRDefault="006E2519" w:rsidP="006E2519">
      <w:pPr>
        <w:autoSpaceDE w:val="0"/>
        <w:autoSpaceDN w:val="0"/>
        <w:adjustRightInd w:val="0"/>
        <w:jc w:val="both"/>
        <w:rPr>
          <w:b/>
          <w:bCs/>
          <w:color w:val="000000"/>
          <w:sz w:val="22"/>
          <w:szCs w:val="22"/>
          <w:lang w:val="pt-PT"/>
        </w:rPr>
      </w:pPr>
    </w:p>
    <w:p w:rsidR="006E2519" w:rsidRPr="005F71BB" w:rsidRDefault="005F71BB" w:rsidP="006E2519">
      <w:pPr>
        <w:autoSpaceDE w:val="0"/>
        <w:autoSpaceDN w:val="0"/>
        <w:adjustRightInd w:val="0"/>
        <w:jc w:val="both"/>
        <w:rPr>
          <w:rFonts w:ascii="Arial" w:hAnsi="Arial" w:cs="Arial"/>
          <w:sz w:val="16"/>
          <w:szCs w:val="16"/>
        </w:rPr>
      </w:pPr>
      <w:r w:rsidRPr="005F71BB">
        <w:rPr>
          <w:rFonts w:ascii="Arial" w:hAnsi="Arial" w:cs="Arial"/>
          <w:sz w:val="16"/>
          <w:szCs w:val="16"/>
        </w:rPr>
        <w:t>9</w:t>
      </w:r>
      <w:r w:rsidR="006E2519" w:rsidRPr="005F71BB">
        <w:rPr>
          <w:rFonts w:ascii="Arial" w:hAnsi="Arial" w:cs="Arial"/>
          <w:sz w:val="16"/>
          <w:szCs w:val="16"/>
        </w:rPr>
        <w:t xml:space="preserve">.17 Também ficam sujeitas as penalidades de suspensão de licitar e impedimento de contratar com o Órgão licitante e de declaração de inidoneidade, previstas no subitem anterior, as empresas ou profissionais que, em razão do contrato decorrente desta licitação: </w:t>
      </w:r>
    </w:p>
    <w:p w:rsidR="006E2519" w:rsidRDefault="006E2519" w:rsidP="006E2519">
      <w:pPr>
        <w:autoSpaceDE w:val="0"/>
        <w:autoSpaceDN w:val="0"/>
        <w:adjustRightInd w:val="0"/>
        <w:jc w:val="both"/>
        <w:rPr>
          <w:b/>
          <w:bCs/>
          <w:color w:val="000000"/>
          <w:sz w:val="22"/>
          <w:szCs w:val="22"/>
          <w:lang w:val="pt-PT"/>
        </w:rPr>
      </w:pP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a) Tenham sofrido condenações definitivas por praticarem, por meio dolosos, fraude fiscal no recolhimento de tributos; </w:t>
      </w:r>
    </w:p>
    <w:p w:rsidR="006E2519" w:rsidRPr="005F71BB" w:rsidRDefault="006E2519" w:rsidP="006E2519">
      <w:pPr>
        <w:autoSpaceDE w:val="0"/>
        <w:autoSpaceDN w:val="0"/>
        <w:adjustRightInd w:val="0"/>
        <w:jc w:val="both"/>
        <w:rPr>
          <w:rFonts w:ascii="Arial" w:hAnsi="Arial" w:cs="Arial"/>
          <w:sz w:val="16"/>
          <w:szCs w:val="16"/>
        </w:rPr>
      </w:pPr>
      <w:r w:rsidRPr="005F71BB">
        <w:rPr>
          <w:rFonts w:ascii="Arial" w:hAnsi="Arial" w:cs="Arial"/>
          <w:sz w:val="16"/>
          <w:szCs w:val="16"/>
        </w:rPr>
        <w:t xml:space="preserve">b) Tenham praticado atos ilícitos visando a frustrar os objetivos da licitação; </w:t>
      </w:r>
    </w:p>
    <w:p w:rsidR="009D2314" w:rsidRPr="005F71BB" w:rsidRDefault="006E2519" w:rsidP="005F71BB">
      <w:pPr>
        <w:autoSpaceDE w:val="0"/>
        <w:autoSpaceDN w:val="0"/>
        <w:adjustRightInd w:val="0"/>
        <w:jc w:val="both"/>
        <w:rPr>
          <w:rFonts w:ascii="Arial" w:hAnsi="Arial" w:cs="Arial"/>
          <w:sz w:val="16"/>
          <w:szCs w:val="16"/>
        </w:rPr>
      </w:pPr>
      <w:r w:rsidRPr="005F71BB">
        <w:rPr>
          <w:rFonts w:ascii="Arial" w:hAnsi="Arial" w:cs="Arial"/>
          <w:sz w:val="16"/>
          <w:szCs w:val="16"/>
        </w:rPr>
        <w:t>c) Demonstrem não possuir idoneidade para contratar com a Administração em virtude de atos ilícitos praticados.</w:t>
      </w:r>
    </w:p>
    <w:p w:rsidR="005F71BB" w:rsidRDefault="005F71BB" w:rsidP="006E2519">
      <w:pPr>
        <w:jc w:val="both"/>
        <w:rPr>
          <w:color w:val="000000"/>
          <w:sz w:val="22"/>
          <w:szCs w:val="22"/>
          <w:lang w:val="pt-PT"/>
        </w:rPr>
      </w:pPr>
    </w:p>
    <w:p w:rsidR="005F71BB" w:rsidRPr="009A54D1" w:rsidRDefault="005F71BB" w:rsidP="006E2519">
      <w:pPr>
        <w:jc w:val="both"/>
        <w:rPr>
          <w:rFonts w:ascii="Arial" w:hAnsi="Arial" w:cs="Arial"/>
          <w:color w:val="000000"/>
          <w:sz w:val="16"/>
          <w:szCs w:val="16"/>
        </w:rPr>
      </w:pPr>
    </w:p>
    <w:p w:rsidR="005F71BB"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w:t>
      </w:r>
      <w:proofErr w:type="gramStart"/>
      <w:r w:rsidR="00334F76" w:rsidRPr="009A54D1">
        <w:rPr>
          <w:rFonts w:ascii="Arial" w:hAnsi="Arial" w:cs="Arial"/>
          <w:sz w:val="16"/>
          <w:szCs w:val="16"/>
        </w:rPr>
        <w:t xml:space="preserve">vigência, </w:t>
      </w:r>
      <w:r w:rsidR="0010657B" w:rsidRPr="009A54D1">
        <w:rPr>
          <w:rFonts w:ascii="Arial" w:hAnsi="Arial" w:cs="Arial"/>
          <w:sz w:val="16"/>
          <w:szCs w:val="16"/>
        </w:rPr>
        <w:t xml:space="preserve"> poderá</w:t>
      </w:r>
      <w:proofErr w:type="gramEnd"/>
      <w:r w:rsidR="0010657B" w:rsidRPr="009A54D1">
        <w:rPr>
          <w:rFonts w:ascii="Arial" w:hAnsi="Arial" w:cs="Arial"/>
          <w:sz w:val="16"/>
          <w:szCs w:val="16"/>
        </w:rPr>
        <w:t xml:space="preserve">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w:t>
      </w:r>
      <w:proofErr w:type="gramStart"/>
      <w:r w:rsidR="00811634" w:rsidRPr="008353D1">
        <w:rPr>
          <w:rFonts w:ascii="Arial" w:hAnsi="Arial" w:cs="Arial"/>
          <w:color w:val="000000"/>
          <w:sz w:val="16"/>
          <w:szCs w:val="16"/>
        </w:rPr>
        <w:t xml:space="preserve">condições </w:t>
      </w:r>
      <w:r w:rsidR="009D2314" w:rsidRPr="008353D1">
        <w:rPr>
          <w:rFonts w:ascii="Arial" w:hAnsi="Arial" w:cs="Arial"/>
          <w:color w:val="000000"/>
          <w:sz w:val="16"/>
          <w:szCs w:val="16"/>
        </w:rPr>
        <w:t xml:space="preserve"> </w:t>
      </w:r>
      <w:r w:rsidR="00C60FBD" w:rsidRPr="008353D1">
        <w:rPr>
          <w:rFonts w:ascii="Arial" w:hAnsi="Arial" w:cs="Arial"/>
          <w:color w:val="000000"/>
          <w:sz w:val="16"/>
          <w:szCs w:val="16"/>
        </w:rPr>
        <w:t>ofertadas</w:t>
      </w:r>
      <w:proofErr w:type="gramEnd"/>
      <w:r w:rsidR="00C60FBD" w:rsidRPr="008353D1">
        <w:rPr>
          <w:rFonts w:ascii="Arial" w:hAnsi="Arial" w:cs="Arial"/>
          <w:color w:val="000000"/>
          <w:sz w:val="16"/>
          <w:szCs w:val="16"/>
        </w:rPr>
        <w:t xml:space="preserve">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C3F6E">
        <w:rPr>
          <w:rFonts w:ascii="Arial" w:hAnsi="Arial" w:cs="Arial"/>
          <w:b/>
          <w:bCs/>
          <w:color w:val="000000"/>
          <w:sz w:val="16"/>
          <w:szCs w:val="16"/>
        </w:rPr>
        <w:t xml:space="preserve">        </w:t>
      </w:r>
      <w:r>
        <w:rPr>
          <w:rFonts w:ascii="Arial" w:hAnsi="Arial" w:cs="Arial"/>
          <w:b/>
          <w:bCs/>
          <w:color w:val="000000"/>
          <w:sz w:val="16"/>
          <w:szCs w:val="16"/>
        </w:rPr>
        <w:t xml:space="preserve">   </w:t>
      </w:r>
      <w:r w:rsidR="00BC3F6E">
        <w:rPr>
          <w:rFonts w:ascii="Arial" w:hAnsi="Arial" w:cs="Arial"/>
          <w:b/>
          <w:bCs/>
          <w:color w:val="000000"/>
          <w:sz w:val="16"/>
          <w:szCs w:val="16"/>
        </w:rPr>
        <w:t>MARCIA CARVALO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A07970" w:rsidP="00526790">
      <w:pPr>
        <w:ind w:right="47"/>
        <w:jc w:val="both"/>
        <w:rPr>
          <w:rFonts w:ascii="Arial" w:hAnsi="Arial" w:cs="Arial"/>
          <w:b/>
          <w:bCs/>
          <w:color w:val="000000"/>
          <w:sz w:val="8"/>
          <w:szCs w:val="8"/>
        </w:rPr>
      </w:pPr>
      <w:r>
        <w:rPr>
          <w:rFonts w:ascii="Arial" w:hAnsi="Arial" w:cs="Arial"/>
          <w:b/>
          <w:bCs/>
          <w:color w:val="000000"/>
          <w:sz w:val="8"/>
          <w:szCs w:val="8"/>
        </w:rPr>
        <w:t>ABF</w:t>
      </w:r>
      <w:r w:rsidR="0093168E">
        <w:rPr>
          <w:rFonts w:ascii="Arial" w:hAnsi="Arial" w:cs="Arial"/>
          <w:b/>
          <w:bCs/>
          <w:color w:val="000000"/>
          <w:sz w:val="8"/>
          <w:szCs w:val="8"/>
        </w:rPr>
        <w:t>/</w:t>
      </w:r>
      <w:r w:rsidR="00EA06CB" w:rsidRPr="00EA06CB">
        <w:rPr>
          <w:rFonts w:ascii="Arial" w:hAnsi="Arial" w:cs="Arial"/>
          <w:b/>
          <w:bCs/>
          <w:color w:val="000000"/>
          <w:sz w:val="8"/>
          <w:szCs w:val="8"/>
        </w:rPr>
        <w:t>SRP</w:t>
      </w:r>
    </w:p>
    <w:sectPr w:rsidR="00C50BF7" w:rsidRPr="00EA06C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4E7E" w:rsidRDefault="00AF4E7E">
      <w:r>
        <w:separator/>
      </w:r>
    </w:p>
  </w:endnote>
  <w:endnote w:type="continuationSeparator" w:id="0">
    <w:p w:rsidR="00AF4E7E" w:rsidRDefault="00AF4E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4E7E" w:rsidRDefault="00AF4E7E">
      <w:r>
        <w:separator/>
      </w:r>
    </w:p>
  </w:footnote>
  <w:footnote w:type="continuationSeparator" w:id="0">
    <w:p w:rsidR="00AF4E7E" w:rsidRDefault="00AF4E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4E7E" w:rsidRDefault="00AF4E7E">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7"/>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5"/>
  </w:num>
  <w:num w:numId="25">
    <w:abstractNumId w:val="14"/>
  </w:num>
  <w:num w:numId="26">
    <w:abstractNumId w:val="11"/>
  </w:num>
  <w:num w:numId="27">
    <w:abstractNumId w:val="29"/>
  </w:num>
  <w:num w:numId="28">
    <w:abstractNumId w:val="26"/>
  </w:num>
  <w:num w:numId="29">
    <w:abstractNumId w:val="7"/>
  </w:num>
  <w:num w:numId="30">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9382E"/>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0048"/>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191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54F"/>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5F71BB"/>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2519"/>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4598F"/>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970"/>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27C89"/>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3F6E"/>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3E77"/>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18705F5-BD20-4F5B-A7B3-6A02196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i.sistemas.ro.gov.br/sei/controlador.php?acao=arvore_visualizar&amp;acao_origem=procedimento_visualizar&amp;id_procedimento=62140&amp;infra_sistema=100000100&amp;infra_unidade_atual=110000213&amp;infra_hash=9ae1bc28743c626b7159edb80f66ec616300872f6fc35f6c7a613f68b083f3b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7029AB-B705-4B4E-B2C7-E1F88A5E9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3392</Words>
  <Characters>19492</Characters>
  <Application>Microsoft Office Word</Application>
  <DocSecurity>0</DocSecurity>
  <Lines>162</Lines>
  <Paragraphs>45</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Alisson A B F. Bittencourt Franco</cp:lastModifiedBy>
  <cp:revision>4</cp:revision>
  <cp:lastPrinted>2017-09-27T15:12:00Z</cp:lastPrinted>
  <dcterms:created xsi:type="dcterms:W3CDTF">2017-11-27T15:28:00Z</dcterms:created>
  <dcterms:modified xsi:type="dcterms:W3CDTF">2017-11-27T15:46:00Z</dcterms:modified>
</cp:coreProperties>
</file>