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C335BC">
        <w:rPr>
          <w:rFonts w:ascii="Arial" w:hAnsi="Arial" w:cs="Arial"/>
          <w:sz w:val="16"/>
          <w:szCs w:val="16"/>
        </w:rPr>
        <w:t>258</w:t>
      </w:r>
      <w:r w:rsidR="008C7613" w:rsidRPr="001606A8">
        <w:rPr>
          <w:rFonts w:ascii="Arial" w:hAnsi="Arial" w:cs="Arial"/>
          <w:sz w:val="16"/>
          <w:szCs w:val="16"/>
        </w:rPr>
        <w:t>/201</w:t>
      </w:r>
      <w:r w:rsidR="00EA06CB">
        <w:rPr>
          <w:rFonts w:ascii="Arial" w:hAnsi="Arial" w:cs="Arial"/>
          <w:sz w:val="16"/>
          <w:szCs w:val="16"/>
        </w:rPr>
        <w:t>7</w:t>
      </w:r>
    </w:p>
    <w:p w:rsidR="009D2314" w:rsidRPr="00C335BC" w:rsidRDefault="009D2314" w:rsidP="009D2314">
      <w:pPr>
        <w:jc w:val="both"/>
        <w:rPr>
          <w:rFonts w:ascii="Arial" w:hAnsi="Arial" w:cs="Arial"/>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C335BC">
        <w:rPr>
          <w:rFonts w:ascii="Arial" w:hAnsi="Arial" w:cs="Arial"/>
          <w:bCs/>
          <w:sz w:val="16"/>
          <w:szCs w:val="16"/>
        </w:rPr>
        <w:t>319</w:t>
      </w:r>
      <w:r w:rsidR="008C7613" w:rsidRPr="001606A8">
        <w:rPr>
          <w:rFonts w:ascii="Arial" w:hAnsi="Arial" w:cs="Arial"/>
          <w:bCs/>
          <w:sz w:val="16"/>
          <w:szCs w:val="16"/>
        </w:rPr>
        <w:t>/</w:t>
      </w:r>
      <w:r w:rsidR="008C7613" w:rsidRPr="008353D1">
        <w:rPr>
          <w:rFonts w:ascii="Arial" w:hAnsi="Arial" w:cs="Arial"/>
          <w:bCs/>
          <w:sz w:val="16"/>
          <w:szCs w:val="16"/>
        </w:rPr>
        <w:t>201</w:t>
      </w:r>
      <w:r w:rsidR="00FC5904">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C335BC">
        <w:rPr>
          <w:rFonts w:ascii="Arial" w:hAnsi="Arial" w:cs="Arial"/>
          <w:bCs/>
          <w:sz w:val="16"/>
          <w:szCs w:val="16"/>
        </w:rPr>
        <w:t>03250</w:t>
      </w:r>
      <w:r w:rsidR="00592472">
        <w:rPr>
          <w:rFonts w:ascii="Arial" w:hAnsi="Arial" w:cs="Arial"/>
          <w:bCs/>
          <w:sz w:val="16"/>
          <w:szCs w:val="16"/>
        </w:rPr>
        <w:t>-00/201</w:t>
      </w:r>
      <w:r w:rsidR="00D51032">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9F05F0">
        <w:rPr>
          <w:rFonts w:ascii="Arial" w:hAnsi="Arial" w:cs="Arial"/>
          <w:sz w:val="16"/>
          <w:szCs w:val="16"/>
        </w:rPr>
        <w:t xml:space="preserve">preço para </w:t>
      </w:r>
      <w:r w:rsidR="003C0CA5" w:rsidRPr="009F05F0">
        <w:rPr>
          <w:rFonts w:ascii="Arial" w:hAnsi="Arial" w:cs="Arial"/>
          <w:bCs/>
          <w:sz w:val="16"/>
          <w:szCs w:val="16"/>
        </w:rPr>
        <w:t xml:space="preserve">futura e eventual </w:t>
      </w:r>
      <w:r w:rsidR="00D51032" w:rsidRPr="009F05F0">
        <w:rPr>
          <w:rFonts w:ascii="Arial" w:hAnsi="Arial" w:cs="Arial"/>
          <w:sz w:val="16"/>
          <w:szCs w:val="16"/>
        </w:rPr>
        <w:t xml:space="preserve">aquisição de </w:t>
      </w:r>
      <w:proofErr w:type="spellStart"/>
      <w:r w:rsidR="00C335BC" w:rsidRPr="00C335BC">
        <w:rPr>
          <w:rFonts w:ascii="Arial" w:hAnsi="Arial" w:cs="Arial"/>
          <w:sz w:val="16"/>
          <w:szCs w:val="16"/>
        </w:rPr>
        <w:t>Equipos</w:t>
      </w:r>
      <w:proofErr w:type="spellEnd"/>
      <w:r w:rsidR="00C335BC" w:rsidRPr="00C335BC">
        <w:rPr>
          <w:rFonts w:ascii="Arial" w:hAnsi="Arial" w:cs="Arial"/>
          <w:sz w:val="16"/>
          <w:szCs w:val="16"/>
        </w:rPr>
        <w:t xml:space="preserve"> para Nutrição Enteral com cedência, em regime de comodato, de bombas de infusão pela empresa fornecedora do item I (</w:t>
      </w:r>
      <w:proofErr w:type="spellStart"/>
      <w:r w:rsidR="00C335BC" w:rsidRPr="00C335BC">
        <w:rPr>
          <w:rFonts w:ascii="Arial" w:hAnsi="Arial" w:cs="Arial"/>
          <w:sz w:val="16"/>
          <w:szCs w:val="16"/>
        </w:rPr>
        <w:t>Equipos</w:t>
      </w:r>
      <w:proofErr w:type="spellEnd"/>
      <w:r w:rsidR="00C335BC" w:rsidRPr="00C335BC">
        <w:rPr>
          <w:rFonts w:ascii="Arial" w:hAnsi="Arial" w:cs="Arial"/>
          <w:sz w:val="16"/>
          <w:szCs w:val="16"/>
        </w:rPr>
        <w:t xml:space="preserve"> para bomba de infusão), a fim de atender as Unidades de Saúde de forma continuada por um período de 12 </w:t>
      </w:r>
      <w:r w:rsidR="00C335BC">
        <w:rPr>
          <w:rFonts w:ascii="Arial" w:hAnsi="Arial" w:cs="Arial"/>
          <w:sz w:val="16"/>
          <w:szCs w:val="16"/>
        </w:rPr>
        <w:t>meses</w:t>
      </w:r>
      <w:r w:rsidR="003C0CA5" w:rsidRPr="00C335BC">
        <w:rPr>
          <w:rFonts w:ascii="Arial" w:hAnsi="Arial" w:cs="Arial"/>
          <w:sz w:val="16"/>
          <w:szCs w:val="16"/>
        </w:rPr>
        <w:t>,</w:t>
      </w:r>
      <w:r w:rsidR="003C0CA5" w:rsidRPr="009F05F0">
        <w:rPr>
          <w:rFonts w:ascii="Arial" w:hAnsi="Arial" w:cs="Arial"/>
          <w:sz w:val="16"/>
          <w:szCs w:val="16"/>
        </w:rPr>
        <w:t xml:space="preserve"> a pedido da Secretaria de Estado da Saúde – SESAU/RO, </w:t>
      </w:r>
      <w:r w:rsidRPr="009F05F0">
        <w:rPr>
          <w:rFonts w:ascii="Arial" w:hAnsi="Arial" w:cs="Arial"/>
          <w:sz w:val="16"/>
          <w:szCs w:val="16"/>
        </w:rPr>
        <w:t>conforme Anexo Único desta ata, atendendo as condições</w:t>
      </w:r>
      <w:r w:rsidRPr="00D77649">
        <w:rPr>
          <w:rFonts w:ascii="Arial" w:hAnsi="Arial" w:cs="Arial"/>
          <w:sz w:val="16"/>
          <w:szCs w:val="16"/>
        </w:rPr>
        <w:t xml:space="preserve">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9F05F0" w:rsidRPr="009F05F0">
        <w:rPr>
          <w:rFonts w:ascii="Arial" w:hAnsi="Arial" w:cs="Arial"/>
          <w:sz w:val="16"/>
          <w:szCs w:val="16"/>
        </w:rPr>
        <w:t xml:space="preserve">aquisição de </w:t>
      </w:r>
      <w:proofErr w:type="spellStart"/>
      <w:r w:rsidR="00C335BC" w:rsidRPr="00C335BC">
        <w:rPr>
          <w:rFonts w:ascii="Arial" w:hAnsi="Arial" w:cs="Arial"/>
          <w:sz w:val="16"/>
          <w:szCs w:val="16"/>
        </w:rPr>
        <w:t>Equipos</w:t>
      </w:r>
      <w:proofErr w:type="spellEnd"/>
      <w:r w:rsidR="00C335BC" w:rsidRPr="00C335BC">
        <w:rPr>
          <w:rFonts w:ascii="Arial" w:hAnsi="Arial" w:cs="Arial"/>
          <w:sz w:val="16"/>
          <w:szCs w:val="16"/>
        </w:rPr>
        <w:t xml:space="preserve"> para Nutrição Enteral com cedência, em regime de comodato, de bombas de infusão pela empresa fornecedora do item I (</w:t>
      </w:r>
      <w:proofErr w:type="spellStart"/>
      <w:r w:rsidR="00C335BC" w:rsidRPr="00C335BC">
        <w:rPr>
          <w:rFonts w:ascii="Arial" w:hAnsi="Arial" w:cs="Arial"/>
          <w:sz w:val="16"/>
          <w:szCs w:val="16"/>
        </w:rPr>
        <w:t>Equipos</w:t>
      </w:r>
      <w:proofErr w:type="spellEnd"/>
      <w:r w:rsidR="00C335BC" w:rsidRPr="00C335BC">
        <w:rPr>
          <w:rFonts w:ascii="Arial" w:hAnsi="Arial" w:cs="Arial"/>
          <w:sz w:val="16"/>
          <w:szCs w:val="16"/>
        </w:rPr>
        <w:t xml:space="preserve"> para bomba de infusão), a fim de atender as Unidades de Saúde de forma continuada por um período de 12 </w:t>
      </w:r>
      <w:r w:rsidR="00C335BC">
        <w:rPr>
          <w:rFonts w:ascii="Arial" w:hAnsi="Arial" w:cs="Arial"/>
          <w:sz w:val="16"/>
          <w:szCs w:val="16"/>
        </w:rPr>
        <w:t>meses</w:t>
      </w:r>
      <w:r w:rsidR="00C335BC" w:rsidRPr="00C335BC">
        <w:rPr>
          <w:rFonts w:ascii="Arial" w:hAnsi="Arial" w:cs="Arial"/>
          <w:sz w:val="16"/>
          <w:szCs w:val="16"/>
        </w:rPr>
        <w:t>,</w:t>
      </w:r>
      <w:r w:rsidR="00C335BC" w:rsidRPr="009F05F0">
        <w:rPr>
          <w:rFonts w:ascii="Arial" w:hAnsi="Arial" w:cs="Arial"/>
          <w:sz w:val="16"/>
          <w:szCs w:val="16"/>
        </w:rPr>
        <w:t xml:space="preserve"> a pedido da Secretaria de Estado da Saúde – SESAU/RO</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3C0CA5" w:rsidRDefault="009D2314" w:rsidP="00E32B4E">
      <w:pPr>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32B4E">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32B4E">
      <w:pPr>
        <w:pStyle w:val="Recuodecorpodetexto3"/>
        <w:spacing w:after="0"/>
        <w:ind w:left="0"/>
        <w:rPr>
          <w:b/>
          <w:bCs/>
          <w:sz w:val="16"/>
          <w:szCs w:val="16"/>
        </w:rPr>
      </w:pPr>
      <w:r w:rsidRPr="003C0CA5">
        <w:rPr>
          <w:sz w:val="16"/>
          <w:szCs w:val="16"/>
        </w:rPr>
        <w:t xml:space="preserve">6.2. </w:t>
      </w:r>
      <w:r w:rsidR="009D2314" w:rsidRPr="003C0CA5">
        <w:rPr>
          <w:sz w:val="16"/>
          <w:szCs w:val="16"/>
        </w:rPr>
        <w:t>Expedida a Nota de Empenho, o recebimento de seu objeto ficará condicionado a observância das normas contidas no art. 40, inciso XVI, c/c o art. 73 inciso II, “a” e “b”, da Lei 8.666/93 e alterações.</w:t>
      </w:r>
    </w:p>
    <w:p w:rsidR="00C335BC" w:rsidRDefault="004B50C5" w:rsidP="00E32B4E">
      <w:pPr>
        <w:jc w:val="both"/>
        <w:rPr>
          <w:rFonts w:ascii="Arial" w:hAnsi="Arial" w:cs="Arial"/>
          <w:b/>
          <w:sz w:val="16"/>
          <w:szCs w:val="16"/>
        </w:rPr>
      </w:pPr>
      <w:r w:rsidRPr="009F05F0">
        <w:rPr>
          <w:rFonts w:ascii="Arial" w:hAnsi="Arial" w:cs="Arial"/>
          <w:sz w:val="16"/>
          <w:szCs w:val="16"/>
        </w:rPr>
        <w:t>6.3</w:t>
      </w:r>
      <w:r w:rsidR="001643CD" w:rsidRPr="009F05F0">
        <w:rPr>
          <w:rFonts w:ascii="Arial" w:hAnsi="Arial" w:cs="Arial"/>
          <w:sz w:val="16"/>
          <w:szCs w:val="16"/>
        </w:rPr>
        <w:t>.</w:t>
      </w:r>
      <w:r w:rsidRPr="009F05F0">
        <w:rPr>
          <w:rFonts w:ascii="Arial" w:hAnsi="Arial" w:cs="Arial"/>
          <w:sz w:val="16"/>
          <w:szCs w:val="16"/>
        </w:rPr>
        <w:t xml:space="preserve"> </w:t>
      </w:r>
      <w:r w:rsidR="00F17DD3" w:rsidRPr="009F05F0">
        <w:rPr>
          <w:rFonts w:ascii="Arial" w:hAnsi="Arial" w:cs="Arial"/>
          <w:b/>
          <w:sz w:val="16"/>
          <w:szCs w:val="16"/>
        </w:rPr>
        <w:t>PRAZO DE ENTREGA:</w:t>
      </w:r>
    </w:p>
    <w:p w:rsidR="00C335BC" w:rsidRDefault="00C335BC" w:rsidP="00E32B4E">
      <w:pPr>
        <w:jc w:val="both"/>
        <w:rPr>
          <w:rFonts w:ascii="Arial" w:hAnsi="Arial" w:cs="Arial"/>
          <w:b/>
          <w:sz w:val="16"/>
          <w:szCs w:val="16"/>
        </w:rPr>
      </w:pPr>
    </w:p>
    <w:p w:rsidR="00C335BC" w:rsidRPr="00C335BC" w:rsidRDefault="00C335BC" w:rsidP="00E32B4E">
      <w:pPr>
        <w:contextualSpacing/>
        <w:jc w:val="both"/>
        <w:rPr>
          <w:rFonts w:ascii="Arial" w:hAnsi="Arial" w:cs="Arial"/>
          <w:sz w:val="16"/>
          <w:szCs w:val="22"/>
        </w:rPr>
      </w:pPr>
      <w:r w:rsidRPr="00C335BC">
        <w:rPr>
          <w:rFonts w:ascii="Arial" w:hAnsi="Arial" w:cs="Arial"/>
          <w:sz w:val="16"/>
          <w:szCs w:val="22"/>
        </w:rPr>
        <w:t xml:space="preserve">6.3.1 </w:t>
      </w:r>
      <w:r w:rsidRPr="00C335BC">
        <w:rPr>
          <w:rFonts w:ascii="Arial" w:hAnsi="Arial" w:cs="Arial"/>
          <w:sz w:val="16"/>
          <w:szCs w:val="22"/>
        </w:rPr>
        <w:t xml:space="preserve">O prazo de vigência do Registro de Preço será de 12 (doze) meses contados a partir da publicação da Ata de Registro de Preços no Diário Oficial do Estado. Deverão ser observadas as disposições contidas no art. </w:t>
      </w:r>
      <w:r w:rsidR="00BA7160" w:rsidRPr="00C335BC">
        <w:rPr>
          <w:rFonts w:ascii="Arial" w:hAnsi="Arial" w:cs="Arial"/>
          <w:sz w:val="16"/>
          <w:szCs w:val="22"/>
        </w:rPr>
        <w:t>15, §</w:t>
      </w:r>
      <w:r w:rsidRPr="00C335BC">
        <w:rPr>
          <w:rFonts w:ascii="Arial" w:hAnsi="Arial" w:cs="Arial"/>
          <w:sz w:val="16"/>
          <w:szCs w:val="22"/>
        </w:rPr>
        <w:t xml:space="preserve"> 3°, III da Lei Federal 8.666/93;</w:t>
      </w:r>
    </w:p>
    <w:p w:rsidR="00C335BC" w:rsidRPr="00C335BC" w:rsidRDefault="00C335BC" w:rsidP="00E32B4E">
      <w:pPr>
        <w:contextualSpacing/>
        <w:jc w:val="both"/>
        <w:rPr>
          <w:rFonts w:ascii="Arial" w:hAnsi="Arial" w:cs="Arial"/>
          <w:sz w:val="16"/>
          <w:szCs w:val="22"/>
        </w:rPr>
      </w:pPr>
    </w:p>
    <w:p w:rsidR="00C335BC" w:rsidRPr="00C335BC" w:rsidRDefault="00C335BC" w:rsidP="00C335BC">
      <w:pPr>
        <w:jc w:val="both"/>
        <w:rPr>
          <w:rFonts w:ascii="Arial" w:hAnsi="Arial" w:cs="Arial"/>
          <w:bCs/>
          <w:sz w:val="16"/>
          <w:szCs w:val="22"/>
        </w:rPr>
      </w:pPr>
      <w:r w:rsidRPr="00C335BC">
        <w:rPr>
          <w:rFonts w:ascii="Arial" w:hAnsi="Arial" w:cs="Arial"/>
          <w:bCs/>
          <w:sz w:val="16"/>
          <w:szCs w:val="22"/>
        </w:rPr>
        <w:t>6.3.2</w:t>
      </w:r>
      <w:r w:rsidRPr="00C335BC">
        <w:rPr>
          <w:rFonts w:ascii="Arial" w:hAnsi="Arial" w:cs="Arial"/>
          <w:bCs/>
          <w:sz w:val="16"/>
          <w:szCs w:val="22"/>
        </w:rPr>
        <w:t xml:space="preserve"> A entrega deverá ocorrer conforme solicitação via requisição da Secretaria de Saúde com definição da quantidade no prazo de até 30 dias após emissão da Nota de Empenho.</w:t>
      </w:r>
    </w:p>
    <w:p w:rsidR="002D55DF" w:rsidRPr="009F05F0" w:rsidRDefault="002D55DF" w:rsidP="00FD59F7">
      <w:pPr>
        <w:jc w:val="both"/>
        <w:rPr>
          <w:rFonts w:ascii="Arial" w:hAnsi="Arial" w:cs="Arial"/>
          <w:sz w:val="16"/>
          <w:szCs w:val="16"/>
        </w:rPr>
      </w:pPr>
    </w:p>
    <w:p w:rsidR="00041829" w:rsidRPr="009F05F0" w:rsidRDefault="00F23872" w:rsidP="00EF1FC6">
      <w:pPr>
        <w:jc w:val="both"/>
        <w:rPr>
          <w:rFonts w:ascii="Arial" w:hAnsi="Arial" w:cs="Arial"/>
          <w:sz w:val="16"/>
          <w:szCs w:val="16"/>
        </w:rPr>
      </w:pPr>
      <w:r w:rsidRPr="009F05F0">
        <w:rPr>
          <w:rFonts w:ascii="Arial" w:hAnsi="Arial" w:cs="Arial"/>
          <w:sz w:val="16"/>
          <w:szCs w:val="16"/>
        </w:rPr>
        <w:t>6</w:t>
      </w:r>
      <w:r w:rsidR="00F111D9" w:rsidRPr="009F05F0">
        <w:rPr>
          <w:rFonts w:ascii="Arial" w:hAnsi="Arial" w:cs="Arial"/>
          <w:sz w:val="16"/>
          <w:szCs w:val="16"/>
        </w:rPr>
        <w:t>.</w:t>
      </w:r>
      <w:r w:rsidR="00DE7179" w:rsidRPr="009F05F0">
        <w:rPr>
          <w:rFonts w:ascii="Arial" w:hAnsi="Arial" w:cs="Arial"/>
          <w:sz w:val="16"/>
          <w:szCs w:val="16"/>
        </w:rPr>
        <w:t>4</w:t>
      </w:r>
      <w:r w:rsidR="001643CD" w:rsidRPr="009F05F0">
        <w:rPr>
          <w:rFonts w:ascii="Arial" w:hAnsi="Arial" w:cs="Arial"/>
          <w:sz w:val="16"/>
          <w:szCs w:val="16"/>
        </w:rPr>
        <w:t>.</w:t>
      </w:r>
      <w:r w:rsidRPr="009F05F0">
        <w:rPr>
          <w:rFonts w:ascii="Arial" w:hAnsi="Arial" w:cs="Arial"/>
          <w:sz w:val="16"/>
          <w:szCs w:val="16"/>
        </w:rPr>
        <w:t xml:space="preserve"> </w:t>
      </w:r>
      <w:r w:rsidR="00F17DD3" w:rsidRPr="009F05F0">
        <w:rPr>
          <w:rFonts w:ascii="Arial" w:hAnsi="Arial" w:cs="Arial"/>
          <w:b/>
          <w:sz w:val="16"/>
          <w:szCs w:val="16"/>
        </w:rPr>
        <w:t>LOCAL/HORÁRIOS:</w:t>
      </w:r>
      <w:r w:rsidR="00F17DD3" w:rsidRPr="009F05F0">
        <w:rPr>
          <w:rFonts w:ascii="Arial" w:hAnsi="Arial" w:cs="Arial"/>
          <w:sz w:val="16"/>
          <w:szCs w:val="16"/>
        </w:rPr>
        <w:t xml:space="preserve"> </w:t>
      </w:r>
      <w:r w:rsidR="00C335BC" w:rsidRPr="00C335BC">
        <w:rPr>
          <w:rFonts w:ascii="Arial" w:hAnsi="Arial" w:cs="Arial"/>
          <w:bCs/>
          <w:sz w:val="16"/>
          <w:szCs w:val="16"/>
        </w:rPr>
        <w:t>Os materiais e equipamentos deverão ser entregues na Coordenadoria Estadual de Nutrição Enteral - CENE/SESAU, Rua: Aparício Moraes, n° 4348, Galpão C – Setor Industrial – Porto Velho/Rondônia – CEP: 76.821-240. Tel. (69) 3222-0509/3222-0512. As bombas de infusão deverão ser entregues na Coordenadoria de Almoxarifado e Patrimônio - CAP/SESAU, Avenida Rio Madeira, 603 Bairro Lagoa – Porto Velho/RO. Horário de Segunda a Sexta-Feira das 7:30h às 13:30h. Após registro dos equipamentos, esses serão devidamente instalados pela empresa vencedora do certame nas Unidades Hospitalares contempladas no objeto, concomitante ao treinamento previsto no item 9.3.1 deste Termo de Referência.</w:t>
      </w:r>
    </w:p>
    <w:p w:rsidR="00E40FBB" w:rsidRDefault="00E40FBB" w:rsidP="00EF1FC6">
      <w:pPr>
        <w:jc w:val="both"/>
        <w:rPr>
          <w:rFonts w:ascii="Arial" w:hAnsi="Arial" w:cs="Arial"/>
          <w:sz w:val="16"/>
          <w:szCs w:val="16"/>
        </w:rPr>
      </w:pPr>
    </w:p>
    <w:p w:rsidR="009D2314"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E32B4E" w:rsidRPr="00EF1FC6" w:rsidRDefault="00E32B4E" w:rsidP="00E32B4E">
      <w:pPr>
        <w:pStyle w:val="PargrafodaLista"/>
        <w:ind w:left="360"/>
        <w:jc w:val="both"/>
        <w:rPr>
          <w:rFonts w:ascii="Arial" w:hAnsi="Arial" w:cs="Arial"/>
          <w:b/>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spellStart"/>
      <w:proofErr w:type="gramStart"/>
      <w:r w:rsidR="00BA7160">
        <w:rPr>
          <w:rFonts w:ascii="Arial" w:hAnsi="Arial" w:cs="Arial"/>
          <w:sz w:val="16"/>
          <w:szCs w:val="16"/>
        </w:rPr>
        <w:t>à</w:t>
      </w:r>
      <w:proofErr w:type="spellEnd"/>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Default="009D2314" w:rsidP="00E32B4E">
      <w:pPr>
        <w:pStyle w:val="NormalWeb"/>
        <w:numPr>
          <w:ilvl w:val="0"/>
          <w:numId w:val="4"/>
        </w:numPr>
        <w:spacing w:before="0" w:beforeAutospacing="0" w:after="0" w:afterAutospacing="0"/>
        <w:jc w:val="both"/>
        <w:rPr>
          <w:rFonts w:ascii="Arial" w:hAnsi="Arial" w:cs="Arial"/>
          <w:b/>
          <w:bCs/>
          <w:sz w:val="16"/>
          <w:szCs w:val="16"/>
        </w:rPr>
      </w:pPr>
      <w:r w:rsidRPr="009A54D1">
        <w:rPr>
          <w:rFonts w:ascii="Arial" w:hAnsi="Arial" w:cs="Arial"/>
          <w:b/>
          <w:bCs/>
          <w:sz w:val="16"/>
          <w:szCs w:val="16"/>
        </w:rPr>
        <w:t>DA DOTAÇÃO ORÇAMENTÁRIA</w:t>
      </w:r>
      <w:r w:rsidR="00EF1FC6">
        <w:rPr>
          <w:rFonts w:ascii="Arial" w:hAnsi="Arial" w:cs="Arial"/>
          <w:b/>
          <w:bCs/>
          <w:sz w:val="16"/>
          <w:szCs w:val="16"/>
        </w:rPr>
        <w:t>:</w:t>
      </w:r>
    </w:p>
    <w:p w:rsidR="00E32B4E" w:rsidRPr="009A54D1" w:rsidRDefault="00E32B4E" w:rsidP="00E32B4E">
      <w:pPr>
        <w:pStyle w:val="NormalWeb"/>
        <w:spacing w:before="0" w:beforeAutospacing="0" w:after="0" w:afterAutospacing="0"/>
        <w:ind w:left="36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32B4E" w:rsidRPr="00D77649" w:rsidRDefault="00E32B4E" w:rsidP="00E32B4E">
      <w:pPr>
        <w:pStyle w:val="Lista2"/>
        <w:ind w:left="360" w:firstLine="0"/>
        <w:jc w:val="both"/>
        <w:rPr>
          <w:b/>
          <w:bCs/>
          <w:sz w:val="16"/>
          <w:szCs w:val="16"/>
        </w:rPr>
      </w:pPr>
    </w:p>
    <w:p w:rsidR="009F05F0" w:rsidRPr="009F05F0" w:rsidRDefault="00853014" w:rsidP="009F05F0">
      <w:pPr>
        <w:jc w:val="both"/>
        <w:rPr>
          <w:rFonts w:ascii="Arial" w:hAnsi="Arial" w:cs="Arial"/>
          <w:sz w:val="16"/>
          <w:szCs w:val="16"/>
        </w:rPr>
      </w:pPr>
      <w:r w:rsidRPr="009F05F0">
        <w:rPr>
          <w:rFonts w:ascii="Arial" w:hAnsi="Arial" w:cs="Arial"/>
          <w:sz w:val="16"/>
          <w:szCs w:val="16"/>
        </w:rPr>
        <w:t xml:space="preserve">9.1. </w:t>
      </w:r>
      <w:r w:rsidR="009F05F0" w:rsidRPr="009F05F0">
        <w:rPr>
          <w:rFonts w:ascii="Arial" w:hAnsi="Arial" w:cs="Arial"/>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9.1.1.</w:t>
      </w:r>
      <w:r w:rsidRPr="009F05F0">
        <w:rPr>
          <w:rFonts w:ascii="Arial" w:hAnsi="Arial" w:cs="Arial"/>
          <w:color w:val="000000"/>
          <w:sz w:val="16"/>
          <w:szCs w:val="16"/>
        </w:rPr>
        <w:t> Cobrança pelo Estado, por via administrativa ou judicial, de multa equivalente a 1% (um por cento) do valor estimado pelo item ofertado.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9.1.2.</w:t>
      </w:r>
      <w:r w:rsidRPr="009F05F0">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9.1.3.</w:t>
      </w:r>
      <w:r w:rsidRPr="009F05F0">
        <w:rPr>
          <w:rFonts w:ascii="Arial" w:hAnsi="Arial" w:cs="Arial"/>
          <w:color w:val="000000"/>
          <w:sz w:val="16"/>
          <w:szCs w:val="16"/>
        </w:rPr>
        <w:t>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9.1.3.1.</w:t>
      </w:r>
      <w:r w:rsidRPr="009F05F0">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9.1.3.2.</w:t>
      </w:r>
      <w:r w:rsidRPr="009F05F0">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9.1.3.3.</w:t>
      </w:r>
      <w:r w:rsidRPr="009F05F0">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9.1.3.4 </w:t>
      </w:r>
      <w:r w:rsidRPr="009F05F0">
        <w:rPr>
          <w:rFonts w:ascii="Arial" w:hAnsi="Arial" w:cs="Arial"/>
          <w:color w:val="000000"/>
          <w:sz w:val="16"/>
          <w:szCs w:val="16"/>
        </w:rPr>
        <w:t>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9.1.3.5.</w:t>
      </w:r>
      <w:r w:rsidRPr="009F05F0">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 xml:space="preserve">9.1.3.6. </w:t>
      </w:r>
      <w:r w:rsidRPr="009F05F0">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 xml:space="preserve">9.1.3.7. </w:t>
      </w:r>
      <w:r w:rsidRPr="009F05F0">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 xml:space="preserve">9.1.3.8. </w:t>
      </w:r>
      <w:r w:rsidRPr="009F05F0">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 xml:space="preserve">9.1.3.9. </w:t>
      </w:r>
      <w:r w:rsidRPr="009F05F0">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 xml:space="preserve">9.1.3.10. </w:t>
      </w:r>
      <w:r w:rsidRPr="009F05F0">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9.2</w:t>
      </w:r>
      <w:r w:rsidRPr="009F05F0">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9F05F0" w:rsidRPr="009F05F0" w:rsidRDefault="009F05F0" w:rsidP="009F05F0">
      <w:pPr>
        <w:shd w:val="clear" w:color="auto" w:fill="FFFFFF"/>
        <w:ind w:left="720"/>
        <w:jc w:val="both"/>
        <w:rPr>
          <w:rFonts w:ascii="Arial" w:hAnsi="Arial" w:cs="Arial"/>
          <w:color w:val="222222"/>
          <w:sz w:val="16"/>
          <w:szCs w:val="16"/>
        </w:rPr>
      </w:pPr>
      <w:r w:rsidRPr="009F05F0">
        <w:rPr>
          <w:rFonts w:ascii="Arial" w:hAnsi="Arial" w:cs="Arial"/>
          <w:color w:val="000000"/>
          <w:sz w:val="16"/>
          <w:szCs w:val="16"/>
        </w:rPr>
        <w:t>a)       Inexecução total ou parcial do contrato;</w:t>
      </w:r>
    </w:p>
    <w:p w:rsidR="009F05F0" w:rsidRPr="009F05F0" w:rsidRDefault="009F05F0" w:rsidP="009F05F0">
      <w:pPr>
        <w:shd w:val="clear" w:color="auto" w:fill="FFFFFF"/>
        <w:ind w:left="720"/>
        <w:jc w:val="both"/>
        <w:rPr>
          <w:rFonts w:ascii="Arial" w:hAnsi="Arial" w:cs="Arial"/>
          <w:color w:val="222222"/>
          <w:sz w:val="16"/>
          <w:szCs w:val="16"/>
        </w:rPr>
      </w:pPr>
      <w:r w:rsidRPr="009F05F0">
        <w:rPr>
          <w:rFonts w:ascii="Arial" w:hAnsi="Arial" w:cs="Arial"/>
          <w:color w:val="000000"/>
          <w:sz w:val="16"/>
          <w:szCs w:val="16"/>
        </w:rPr>
        <w:t>b)       Apresentação de documentação falsa;</w:t>
      </w:r>
    </w:p>
    <w:p w:rsidR="009F05F0" w:rsidRPr="009F05F0" w:rsidRDefault="009F05F0" w:rsidP="009F05F0">
      <w:pPr>
        <w:shd w:val="clear" w:color="auto" w:fill="FFFFFF"/>
        <w:ind w:left="720"/>
        <w:jc w:val="both"/>
        <w:rPr>
          <w:rFonts w:ascii="Arial" w:hAnsi="Arial" w:cs="Arial"/>
          <w:color w:val="222222"/>
          <w:sz w:val="16"/>
          <w:szCs w:val="16"/>
        </w:rPr>
      </w:pPr>
      <w:r w:rsidRPr="009F05F0">
        <w:rPr>
          <w:rFonts w:ascii="Arial" w:hAnsi="Arial" w:cs="Arial"/>
          <w:color w:val="000000"/>
          <w:sz w:val="16"/>
          <w:szCs w:val="16"/>
        </w:rPr>
        <w:t>c)       Comportamento inidôneo;</w:t>
      </w:r>
    </w:p>
    <w:p w:rsidR="009F05F0" w:rsidRPr="009F05F0" w:rsidRDefault="009F05F0" w:rsidP="009F05F0">
      <w:pPr>
        <w:shd w:val="clear" w:color="auto" w:fill="FFFFFF"/>
        <w:ind w:left="720"/>
        <w:jc w:val="both"/>
        <w:rPr>
          <w:rFonts w:ascii="Arial" w:hAnsi="Arial" w:cs="Arial"/>
          <w:color w:val="222222"/>
          <w:sz w:val="16"/>
          <w:szCs w:val="16"/>
        </w:rPr>
      </w:pPr>
      <w:r w:rsidRPr="009F05F0">
        <w:rPr>
          <w:rFonts w:ascii="Arial" w:hAnsi="Arial" w:cs="Arial"/>
          <w:color w:val="000000"/>
          <w:sz w:val="16"/>
          <w:szCs w:val="16"/>
        </w:rPr>
        <w:t>d)       Fraude fiscal;</w:t>
      </w:r>
    </w:p>
    <w:p w:rsidR="009F05F0" w:rsidRPr="009F05F0" w:rsidRDefault="009F05F0" w:rsidP="009F05F0">
      <w:pPr>
        <w:shd w:val="clear" w:color="auto" w:fill="FFFFFF"/>
        <w:ind w:left="720"/>
        <w:jc w:val="both"/>
        <w:rPr>
          <w:rFonts w:ascii="Arial" w:hAnsi="Arial" w:cs="Arial"/>
          <w:color w:val="222222"/>
          <w:sz w:val="16"/>
          <w:szCs w:val="16"/>
        </w:rPr>
      </w:pPr>
      <w:r w:rsidRPr="009F05F0">
        <w:rPr>
          <w:rFonts w:ascii="Arial" w:hAnsi="Arial" w:cs="Arial"/>
          <w:color w:val="000000"/>
          <w:sz w:val="16"/>
          <w:szCs w:val="16"/>
        </w:rPr>
        <w:t>e)       Descumprimento de qualquer dos deveres elencados no Edital ou no Contrato.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color w:val="000000"/>
          <w:sz w:val="16"/>
          <w:szCs w:val="16"/>
        </w:rPr>
        <w:t> </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9.3</w:t>
      </w:r>
      <w:r w:rsidRPr="009F05F0">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9.4</w:t>
      </w:r>
      <w:r w:rsidRPr="009F05F0">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9195" w:type="dxa"/>
        <w:jc w:val="center"/>
        <w:tblCellMar>
          <w:left w:w="0" w:type="dxa"/>
          <w:right w:w="0" w:type="dxa"/>
        </w:tblCellMar>
        <w:tblLook w:val="04A0" w:firstRow="1" w:lastRow="0" w:firstColumn="1" w:lastColumn="0" w:noHBand="0" w:noVBand="1"/>
      </w:tblPr>
      <w:tblGrid>
        <w:gridCol w:w="833"/>
        <w:gridCol w:w="5811"/>
        <w:gridCol w:w="992"/>
        <w:gridCol w:w="1559"/>
      </w:tblGrid>
      <w:tr w:rsidR="009F05F0" w:rsidRPr="009F05F0" w:rsidTr="00D90B69">
        <w:trPr>
          <w:jc w:val="center"/>
        </w:trPr>
        <w:tc>
          <w:tcPr>
            <w:tcW w:w="833" w:type="dxa"/>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sz w:val="16"/>
                <w:szCs w:val="16"/>
              </w:rPr>
              <w:t>ITEM</w:t>
            </w:r>
          </w:p>
        </w:tc>
        <w:tc>
          <w:tcPr>
            <w:tcW w:w="581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sz w:val="16"/>
                <w:szCs w:val="16"/>
              </w:rPr>
              <w:t>DESCRIÇÃO DA INFRAÇÃO</w:t>
            </w:r>
          </w:p>
        </w:tc>
        <w:tc>
          <w:tcPr>
            <w:tcW w:w="99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sz w:val="16"/>
                <w:szCs w:val="16"/>
              </w:rPr>
              <w:t>GRAU</w:t>
            </w:r>
          </w:p>
        </w:tc>
        <w:tc>
          <w:tcPr>
            <w:tcW w:w="1559"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sz w:val="16"/>
                <w:szCs w:val="16"/>
              </w:rPr>
              <w:t>MULTA*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Permitir situação que crie a possibilidade ou cause dano físico, lesão corporal ou consequências letais;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4,0% por dia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2</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 xml:space="preserve">Suspender ou interromper, </w:t>
            </w:r>
            <w:bookmarkStart w:id="1" w:name="_GoBack"/>
            <w:bookmarkEnd w:id="1"/>
            <w:r w:rsidRPr="009F05F0">
              <w:rPr>
                <w:rFonts w:ascii="Arial" w:hAnsi="Arial" w:cs="Arial"/>
                <w:color w:val="000000"/>
                <w:sz w:val="16"/>
                <w:szCs w:val="16"/>
              </w:rPr>
              <w:t>salvo por motivo de força maior ou caso fortuito, fornecimento do objeto por dia e por unidade de atendimento;</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3,2% por dia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Recusar-se entregar os bens determinados pela FISCALIZAÇÃO, sem motivo justificado;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1,6% por dia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4</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Realizar entrega incompleta, paliativo substitutivo como por caráter permanente, ou deixar de providenciar recomposição complementar;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0,4% por dia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5</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Fornecer informação pérfida sobre o objeto ou substituição de material;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0,4% por dia</w:t>
            </w:r>
          </w:p>
        </w:tc>
      </w:tr>
      <w:tr w:rsidR="009F05F0" w:rsidRPr="009F05F0" w:rsidTr="00D90B69">
        <w:trPr>
          <w:jc w:val="center"/>
        </w:trPr>
        <w:tc>
          <w:tcPr>
            <w:tcW w:w="9196" w:type="dxa"/>
            <w:gridSpan w:val="4"/>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Para os itens a seguir, deixar de:</w:t>
            </w:r>
          </w:p>
        </w:tc>
      </w:tr>
      <w:tr w:rsidR="009F05F0" w:rsidRPr="009F05F0" w:rsidTr="00D90B69">
        <w:trPr>
          <w:jc w:val="center"/>
        </w:trPr>
        <w:tc>
          <w:tcPr>
            <w:tcW w:w="83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6</w:t>
            </w:r>
          </w:p>
        </w:tc>
        <w:tc>
          <w:tcPr>
            <w:tcW w:w="58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Efetuar reposição de materiais danificados, por motivo e por dia;</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04</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1,6% por dia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lastRenderedPageBreak/>
              <w:t>7</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0,8% por dia</w:t>
            </w:r>
          </w:p>
        </w:tc>
      </w:tr>
      <w:tr w:rsidR="009F05F0" w:rsidRPr="009F05F0" w:rsidTr="00D90B69">
        <w:trPr>
          <w:trHeight w:val="797"/>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8</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Cumprir determinação formal ou instrução complementar da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0,8% por dia</w:t>
            </w:r>
          </w:p>
        </w:tc>
      </w:tr>
      <w:tr w:rsidR="009F05F0" w:rsidRPr="009F05F0" w:rsidTr="00D90B69">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9</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Iniciar fornecimento nos prazos estabelecidos, observados os limites mínimos estabelecidos,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0,4% por dia</w:t>
            </w:r>
          </w:p>
        </w:tc>
      </w:tr>
      <w:tr w:rsidR="009F05F0" w:rsidRPr="009F05F0" w:rsidTr="00D90B69">
        <w:trPr>
          <w:trHeight w:val="219"/>
          <w:jc w:val="center"/>
        </w:trPr>
        <w:tc>
          <w:tcPr>
            <w:tcW w:w="83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10</w:t>
            </w:r>
          </w:p>
        </w:tc>
        <w:tc>
          <w:tcPr>
            <w:tcW w:w="58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Manter a documentação de habilitação atualizada; por item, por ocorrência.</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01</w:t>
            </w: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0,2% por dia</w:t>
            </w:r>
          </w:p>
        </w:tc>
      </w:tr>
      <w:tr w:rsidR="009F05F0" w:rsidRPr="009F05F0" w:rsidTr="00D90B69">
        <w:trPr>
          <w:jc w:val="center"/>
        </w:trPr>
        <w:tc>
          <w:tcPr>
            <w:tcW w:w="83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11</w:t>
            </w:r>
          </w:p>
        </w:tc>
        <w:tc>
          <w:tcPr>
            <w:tcW w:w="58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both"/>
              <w:rPr>
                <w:rFonts w:ascii="Arial" w:hAnsi="Arial" w:cs="Arial"/>
                <w:sz w:val="16"/>
                <w:szCs w:val="16"/>
              </w:rPr>
            </w:pPr>
            <w:r w:rsidRPr="009F05F0">
              <w:rPr>
                <w:rFonts w:ascii="Arial" w:hAnsi="Arial" w:cs="Arial"/>
                <w:color w:val="000000"/>
                <w:sz w:val="16"/>
                <w:szCs w:val="16"/>
              </w:rPr>
              <w:t>Fornecer suporte técnico à Contratante, por ocorrência e por dia.</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01</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F05F0" w:rsidRPr="009F05F0" w:rsidRDefault="009F05F0" w:rsidP="00D90B69">
            <w:pPr>
              <w:jc w:val="center"/>
              <w:rPr>
                <w:rFonts w:ascii="Arial" w:hAnsi="Arial" w:cs="Arial"/>
                <w:sz w:val="16"/>
                <w:szCs w:val="16"/>
              </w:rPr>
            </w:pPr>
            <w:r w:rsidRPr="009F05F0">
              <w:rPr>
                <w:rFonts w:ascii="Arial" w:hAnsi="Arial" w:cs="Arial"/>
                <w:bCs/>
                <w:color w:val="000000"/>
                <w:sz w:val="16"/>
                <w:szCs w:val="16"/>
              </w:rPr>
              <w:t>0,2% por dia</w:t>
            </w:r>
          </w:p>
        </w:tc>
      </w:tr>
    </w:tbl>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 </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9.5</w:t>
      </w:r>
      <w:r w:rsidRPr="009F05F0">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9.6</w:t>
      </w:r>
      <w:r w:rsidRPr="009F05F0">
        <w:rPr>
          <w:rFonts w:ascii="Arial" w:hAnsi="Arial" w:cs="Arial"/>
          <w:color w:val="000000"/>
          <w:sz w:val="16"/>
          <w:szCs w:val="16"/>
        </w:rPr>
        <w:t> Após 30 (trinta) dias da falta de execução do objeto, será considerada inexecução total do contrato, o que ensejará a rescisão contratual.</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9.7</w:t>
      </w:r>
      <w:r w:rsidRPr="009F05F0">
        <w:rPr>
          <w:rFonts w:ascii="Arial" w:hAnsi="Arial" w:cs="Arial"/>
          <w:color w:val="000000"/>
          <w:sz w:val="16"/>
          <w:szCs w:val="16"/>
        </w:rPr>
        <w:t> As sanções de natureza pecuniária serão diretamente descontadas de créditos que eventualmente detenha a CONTRATADA</w:t>
      </w:r>
      <w:r w:rsidRPr="009F05F0">
        <w:rPr>
          <w:rFonts w:ascii="Arial" w:hAnsi="Arial" w:cs="Arial"/>
          <w:bCs/>
          <w:color w:val="000000"/>
          <w:sz w:val="16"/>
          <w:szCs w:val="16"/>
        </w:rPr>
        <w:t> </w:t>
      </w:r>
      <w:r w:rsidRPr="009F05F0">
        <w:rPr>
          <w:rFonts w:ascii="Arial" w:hAnsi="Arial" w:cs="Arial"/>
          <w:color w:val="000000"/>
          <w:sz w:val="16"/>
          <w:szCs w:val="16"/>
        </w:rPr>
        <w:t>ou efetuada a sua cobrança na forma prevista em lei.</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9.8</w:t>
      </w:r>
      <w:r w:rsidRPr="009F05F0">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9.9</w:t>
      </w:r>
      <w:r w:rsidRPr="009F05F0">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9.10</w:t>
      </w:r>
      <w:r w:rsidRPr="009F05F0">
        <w:rPr>
          <w:rFonts w:ascii="Arial" w:hAnsi="Arial" w:cs="Arial"/>
          <w:color w:val="000000"/>
          <w:sz w:val="16"/>
          <w:szCs w:val="16"/>
        </w:rPr>
        <w:t> A sanção será obrigatoriamente registrada no Sistema de Cadastramento Unificado de Fornecedores – SICAF, bem como em sistemas Estaduais.</w:t>
      </w:r>
    </w:p>
    <w:p w:rsidR="009F05F0" w:rsidRPr="009F05F0" w:rsidRDefault="009F05F0" w:rsidP="009F05F0">
      <w:pPr>
        <w:shd w:val="clear" w:color="auto" w:fill="FFFFFF"/>
        <w:jc w:val="both"/>
        <w:rPr>
          <w:rFonts w:ascii="Arial" w:hAnsi="Arial" w:cs="Arial"/>
          <w:color w:val="222222"/>
          <w:sz w:val="16"/>
          <w:szCs w:val="16"/>
        </w:rPr>
      </w:pPr>
      <w:r w:rsidRPr="009F05F0">
        <w:rPr>
          <w:rFonts w:ascii="Arial" w:hAnsi="Arial" w:cs="Arial"/>
          <w:bCs/>
          <w:color w:val="000000"/>
          <w:sz w:val="16"/>
          <w:szCs w:val="16"/>
        </w:rPr>
        <w:t>9.11</w:t>
      </w:r>
      <w:r w:rsidRPr="009F05F0">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F05F0" w:rsidRPr="009F05F0" w:rsidRDefault="009F05F0" w:rsidP="009F05F0">
      <w:pPr>
        <w:shd w:val="clear" w:color="auto" w:fill="FFFFFF"/>
        <w:ind w:left="1440"/>
        <w:jc w:val="both"/>
        <w:rPr>
          <w:rFonts w:ascii="Arial" w:hAnsi="Arial" w:cs="Arial"/>
          <w:color w:val="222222"/>
          <w:sz w:val="16"/>
          <w:szCs w:val="16"/>
        </w:rPr>
      </w:pPr>
      <w:r w:rsidRPr="009F05F0">
        <w:rPr>
          <w:rFonts w:ascii="Arial" w:hAnsi="Arial" w:cs="Arial"/>
          <w:color w:val="000000"/>
          <w:sz w:val="16"/>
          <w:szCs w:val="16"/>
        </w:rPr>
        <w:t>a)       Tenham sofrido condenações definitivas por praticarem, por meio dolosos, fraude fiscal no recolhimento de tributos;</w:t>
      </w:r>
    </w:p>
    <w:p w:rsidR="009F05F0" w:rsidRPr="009F05F0" w:rsidRDefault="009F05F0" w:rsidP="009F05F0">
      <w:pPr>
        <w:shd w:val="clear" w:color="auto" w:fill="FFFFFF"/>
        <w:ind w:left="1440"/>
        <w:jc w:val="both"/>
        <w:rPr>
          <w:rFonts w:ascii="Arial" w:hAnsi="Arial" w:cs="Arial"/>
          <w:color w:val="222222"/>
          <w:sz w:val="16"/>
          <w:szCs w:val="16"/>
        </w:rPr>
      </w:pPr>
      <w:r w:rsidRPr="009F05F0">
        <w:rPr>
          <w:rFonts w:ascii="Arial" w:hAnsi="Arial" w:cs="Arial"/>
          <w:color w:val="000000"/>
          <w:sz w:val="16"/>
          <w:szCs w:val="16"/>
        </w:rPr>
        <w:t>b)       Tenham praticado atos ilícitos visando a frustrar os objetivos da licitação;</w:t>
      </w:r>
    </w:p>
    <w:p w:rsidR="009F05F0" w:rsidRPr="009F05F0" w:rsidRDefault="009F05F0" w:rsidP="009F05F0">
      <w:pPr>
        <w:shd w:val="clear" w:color="auto" w:fill="FFFFFF"/>
        <w:ind w:left="1440"/>
        <w:jc w:val="both"/>
        <w:rPr>
          <w:rFonts w:ascii="Arial" w:hAnsi="Arial" w:cs="Arial"/>
          <w:color w:val="222222"/>
          <w:sz w:val="16"/>
          <w:szCs w:val="16"/>
        </w:rPr>
      </w:pPr>
      <w:r w:rsidRPr="009F05F0">
        <w:rPr>
          <w:rFonts w:ascii="Arial" w:hAnsi="Arial" w:cs="Arial"/>
          <w:color w:val="000000"/>
          <w:sz w:val="16"/>
          <w:szCs w:val="16"/>
        </w:rPr>
        <w:t>c)       Demonstrem não possuir idoneidade para contratar com a Administração em virtude de atos ilícitos praticados.</w:t>
      </w:r>
    </w:p>
    <w:p w:rsidR="009F05F0" w:rsidRPr="009F05F0" w:rsidRDefault="009F05F0" w:rsidP="009F05F0">
      <w:pPr>
        <w:tabs>
          <w:tab w:val="left" w:pos="960"/>
        </w:tabs>
        <w:jc w:val="both"/>
        <w:rPr>
          <w:rFonts w:ascii="Arial" w:hAnsi="Arial" w:cs="Arial"/>
          <w:sz w:val="16"/>
          <w:szCs w:val="16"/>
        </w:rPr>
      </w:pPr>
    </w:p>
    <w:p w:rsidR="009F05F0" w:rsidRPr="009F05F0" w:rsidRDefault="009F05F0" w:rsidP="009F05F0">
      <w:pPr>
        <w:tabs>
          <w:tab w:val="left" w:pos="960"/>
        </w:tabs>
        <w:jc w:val="both"/>
        <w:rPr>
          <w:rFonts w:ascii="Arial" w:hAnsi="Arial" w:cs="Arial"/>
          <w:sz w:val="16"/>
          <w:szCs w:val="16"/>
        </w:rPr>
      </w:pPr>
      <w:r w:rsidRPr="009F05F0">
        <w:rPr>
          <w:rFonts w:ascii="Arial" w:hAnsi="Arial" w:cs="Arial"/>
          <w:sz w:val="16"/>
          <w:szCs w:val="16"/>
        </w:rPr>
        <w:t>9.12 Suspensão temporária de participar em licitação e impedimento de contratar com a Administração, pelo prazo não superior a 02 (dois) anos;</w:t>
      </w:r>
    </w:p>
    <w:p w:rsidR="009F05F0" w:rsidRPr="009F05F0" w:rsidRDefault="009F05F0" w:rsidP="009F05F0">
      <w:pPr>
        <w:tabs>
          <w:tab w:val="left" w:pos="960"/>
        </w:tabs>
        <w:jc w:val="both"/>
        <w:rPr>
          <w:rFonts w:ascii="Arial" w:hAnsi="Arial" w:cs="Arial"/>
          <w:sz w:val="16"/>
          <w:szCs w:val="16"/>
        </w:rPr>
      </w:pPr>
    </w:p>
    <w:p w:rsidR="009F05F0" w:rsidRPr="009F05F0" w:rsidRDefault="009F05F0" w:rsidP="009F05F0">
      <w:pPr>
        <w:tabs>
          <w:tab w:val="left" w:pos="426"/>
        </w:tabs>
        <w:jc w:val="both"/>
        <w:rPr>
          <w:rFonts w:ascii="Arial" w:hAnsi="Arial" w:cs="Arial"/>
          <w:sz w:val="16"/>
          <w:szCs w:val="16"/>
        </w:rPr>
      </w:pPr>
      <w:r w:rsidRPr="009F05F0">
        <w:rPr>
          <w:rFonts w:ascii="Arial" w:hAnsi="Arial" w:cs="Arial"/>
          <w:sz w:val="16"/>
          <w:szCs w:val="16"/>
        </w:rPr>
        <w:t>9.13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9F05F0" w:rsidRPr="009F05F0" w:rsidRDefault="009F05F0" w:rsidP="00BA7160">
      <w:pPr>
        <w:tabs>
          <w:tab w:val="left" w:pos="960"/>
        </w:tabs>
        <w:jc w:val="both"/>
        <w:rPr>
          <w:rFonts w:ascii="Arial" w:hAnsi="Arial" w:cs="Arial"/>
          <w:sz w:val="16"/>
          <w:szCs w:val="16"/>
        </w:rPr>
      </w:pPr>
      <w:r w:rsidRPr="009F05F0">
        <w:rPr>
          <w:rFonts w:ascii="Arial" w:hAnsi="Arial" w:cs="Arial"/>
          <w:sz w:val="16"/>
          <w:szCs w:val="16"/>
        </w:rPr>
        <w:t>9.14 As sanções são independentes e a aplicação de uma não exclui a das outras.</w:t>
      </w:r>
    </w:p>
    <w:p w:rsidR="00EF1FC6" w:rsidRPr="002D55DF" w:rsidRDefault="00EF1FC6" w:rsidP="009F05F0">
      <w:pPr>
        <w:jc w:val="both"/>
        <w:rPr>
          <w:rFonts w:ascii="Arial" w:hAnsi="Arial" w:cs="Arial"/>
          <w:sz w:val="16"/>
          <w:szCs w:val="16"/>
        </w:rPr>
      </w:pPr>
    </w:p>
    <w:p w:rsidR="00E13289" w:rsidRPr="00E32B4E" w:rsidRDefault="00A41308" w:rsidP="00E32B4E">
      <w:pPr>
        <w:pStyle w:val="PargrafodaLista"/>
        <w:numPr>
          <w:ilvl w:val="0"/>
          <w:numId w:val="4"/>
        </w:numPr>
        <w:jc w:val="both"/>
        <w:rPr>
          <w:rFonts w:ascii="Arial" w:hAnsi="Arial" w:cs="Arial"/>
          <w:b/>
          <w:sz w:val="16"/>
          <w:szCs w:val="16"/>
        </w:rPr>
      </w:pPr>
      <w:r w:rsidRPr="00E32B4E">
        <w:rPr>
          <w:rFonts w:ascii="Arial" w:hAnsi="Arial" w:cs="Arial"/>
          <w:b/>
          <w:sz w:val="16"/>
          <w:szCs w:val="16"/>
        </w:rPr>
        <w:t xml:space="preserve">DA </w:t>
      </w:r>
      <w:r w:rsidR="009D2314" w:rsidRPr="00E32B4E">
        <w:rPr>
          <w:rFonts w:ascii="Arial" w:hAnsi="Arial" w:cs="Arial"/>
          <w:b/>
          <w:sz w:val="16"/>
          <w:szCs w:val="16"/>
        </w:rPr>
        <w:t>UTILIZAÇÃO DA ATA</w:t>
      </w:r>
      <w:r w:rsidR="00EF1FC6" w:rsidRPr="00E32B4E">
        <w:rPr>
          <w:rFonts w:ascii="Arial" w:hAnsi="Arial" w:cs="Arial"/>
          <w:b/>
          <w:sz w:val="16"/>
          <w:szCs w:val="16"/>
        </w:rPr>
        <w:t>:</w:t>
      </w:r>
      <w:r w:rsidR="009D2314" w:rsidRPr="00E32B4E">
        <w:rPr>
          <w:rFonts w:ascii="Arial" w:hAnsi="Arial" w:cs="Arial"/>
          <w:b/>
          <w:sz w:val="16"/>
          <w:szCs w:val="16"/>
        </w:rPr>
        <w:t xml:space="preserve"> </w:t>
      </w:r>
    </w:p>
    <w:p w:rsidR="00E32B4E" w:rsidRPr="00E32B4E" w:rsidRDefault="00E32B4E" w:rsidP="00E32B4E">
      <w:pPr>
        <w:pStyle w:val="PargrafodaLista"/>
        <w:ind w:left="360"/>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424AEC">
        <w:rPr>
          <w:rFonts w:ascii="Arial" w:hAnsi="Arial" w:cs="Arial"/>
          <w:sz w:val="16"/>
          <w:szCs w:val="16"/>
        </w:rPr>
        <w:t>, durante a sua vigência,</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E32B4E" w:rsidRPr="00E32B4E" w:rsidRDefault="00FE1BAB" w:rsidP="00E32B4E">
      <w:pPr>
        <w:pStyle w:val="PargrafodaLista"/>
        <w:numPr>
          <w:ilvl w:val="0"/>
          <w:numId w:val="21"/>
        </w:numPr>
        <w:spacing w:line="360" w:lineRule="auto"/>
        <w:jc w:val="both"/>
        <w:rPr>
          <w:rFonts w:ascii="Arial" w:hAnsi="Arial" w:cs="Arial"/>
          <w:b/>
          <w:bCs/>
          <w:color w:val="000000"/>
          <w:sz w:val="16"/>
          <w:szCs w:val="16"/>
        </w:rPr>
      </w:pPr>
      <w:r w:rsidRPr="00E32B4E">
        <w:rPr>
          <w:rFonts w:ascii="Arial" w:hAnsi="Arial" w:cs="Arial"/>
          <w:b/>
          <w:bCs/>
          <w:color w:val="000000"/>
          <w:sz w:val="16"/>
          <w:szCs w:val="16"/>
        </w:rPr>
        <w:t>DA ALTERAÇÃO DA ATA DE REGISTRO DE PREÇOS</w:t>
      </w:r>
      <w:r w:rsidR="00EF1FC6" w:rsidRPr="00E32B4E">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r w:rsidR="00BA7160"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BA7160"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E32B4E" w:rsidRPr="009A54D1" w:rsidRDefault="00E32B4E"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BA7160"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C50BF7" w:rsidRPr="00041829" w:rsidRDefault="00A30E2A" w:rsidP="00526790">
      <w:pPr>
        <w:ind w:right="47"/>
        <w:jc w:val="both"/>
        <w:rPr>
          <w:rFonts w:ascii="Arial" w:hAnsi="Arial" w:cs="Arial"/>
          <w:b/>
          <w:bCs/>
          <w:color w:val="000000"/>
          <w:sz w:val="10"/>
          <w:szCs w:val="10"/>
        </w:rPr>
      </w:pPr>
      <w:r>
        <w:rPr>
          <w:rFonts w:ascii="Arial" w:hAnsi="Arial" w:cs="Arial"/>
          <w:b/>
          <w:bCs/>
          <w:color w:val="000000"/>
          <w:sz w:val="10"/>
          <w:szCs w:val="10"/>
        </w:rPr>
        <w:t>LMS</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032" w:rsidRDefault="00D51032">
      <w:r>
        <w:separator/>
      </w:r>
    </w:p>
  </w:endnote>
  <w:endnote w:type="continuationSeparator" w:id="0">
    <w:p w:rsidR="00D51032" w:rsidRDefault="00D5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032" w:rsidRDefault="00D51032">
      <w:r>
        <w:separator/>
      </w:r>
    </w:p>
  </w:footnote>
  <w:footnote w:type="continuationSeparator" w:id="0">
    <w:p w:rsidR="00D51032" w:rsidRDefault="00D51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32" w:rsidRDefault="00D5103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FA3C7414"/>
    <w:lvl w:ilvl="0" w:tplc="A0F4236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4BF2"/>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7C4F"/>
    <w:rsid w:val="003B062B"/>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4AEC"/>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3014"/>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05F0"/>
    <w:rsid w:val="009F13D6"/>
    <w:rsid w:val="009F2597"/>
    <w:rsid w:val="009F2CD8"/>
    <w:rsid w:val="00A03750"/>
    <w:rsid w:val="00A03BE6"/>
    <w:rsid w:val="00A0491E"/>
    <w:rsid w:val="00A11893"/>
    <w:rsid w:val="00A162C1"/>
    <w:rsid w:val="00A16F8B"/>
    <w:rsid w:val="00A172C9"/>
    <w:rsid w:val="00A30C5B"/>
    <w:rsid w:val="00A30C71"/>
    <w:rsid w:val="00A30E2A"/>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160"/>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35B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1032"/>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32B4E"/>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6AFF6C4-5D5D-42E3-91D1-7B3473F7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5700F-00DA-45BF-A697-16C8363F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3615</Words>
  <Characters>20172</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Leonam Matheus da Silva</cp:lastModifiedBy>
  <cp:revision>7</cp:revision>
  <cp:lastPrinted>2017-11-01T12:43:00Z</cp:lastPrinted>
  <dcterms:created xsi:type="dcterms:W3CDTF">2017-11-01T12:30:00Z</dcterms:created>
  <dcterms:modified xsi:type="dcterms:W3CDTF">2017-11-01T13:01:00Z</dcterms:modified>
</cp:coreProperties>
</file>