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21611">
        <w:rPr>
          <w:rFonts w:ascii="Arial" w:hAnsi="Arial" w:cs="Arial"/>
          <w:b/>
          <w:sz w:val="16"/>
          <w:szCs w:val="16"/>
        </w:rPr>
        <w:t>2</w:t>
      </w:r>
      <w:r w:rsidR="00F143B7">
        <w:rPr>
          <w:rFonts w:ascii="Arial" w:hAnsi="Arial" w:cs="Arial"/>
          <w:b/>
          <w:sz w:val="16"/>
          <w:szCs w:val="16"/>
        </w:rPr>
        <w:t>34</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F143B7">
        <w:rPr>
          <w:rFonts w:ascii="Arial" w:hAnsi="Arial" w:cs="Arial"/>
          <w:b/>
          <w:bCs/>
          <w:sz w:val="16"/>
          <w:szCs w:val="16"/>
        </w:rPr>
        <w:t>366/2017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021611">
        <w:rPr>
          <w:rFonts w:ascii="Arial" w:hAnsi="Arial" w:cs="Arial"/>
          <w:b/>
          <w:bCs/>
          <w:sz w:val="16"/>
          <w:szCs w:val="16"/>
        </w:rPr>
        <w:t>01.1712.06606</w:t>
      </w:r>
      <w:r w:rsidR="009F78DE">
        <w:rPr>
          <w:rFonts w:ascii="Arial" w:hAnsi="Arial" w:cs="Arial"/>
          <w:b/>
          <w:bCs/>
          <w:sz w:val="16"/>
          <w:szCs w:val="16"/>
        </w:rPr>
        <w:t>-00/2016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w:t>
      </w:r>
      <w:r w:rsidR="00F143B7" w:rsidRPr="00F143B7">
        <w:rPr>
          <w:rFonts w:ascii="Arial" w:hAnsi="Arial" w:cs="Arial"/>
          <w:color w:val="000000" w:themeColor="text1"/>
          <w:sz w:val="16"/>
          <w:szCs w:val="16"/>
        </w:rPr>
        <w:t>aquisição de artigos médicos hospitalares, visando atender demanda do Centro de Neurocirurgia do Hospital d</w:t>
      </w:r>
      <w:r w:rsidR="00F143B7">
        <w:rPr>
          <w:rFonts w:ascii="Arial" w:hAnsi="Arial" w:cs="Arial"/>
          <w:color w:val="000000" w:themeColor="text1"/>
          <w:sz w:val="16"/>
          <w:szCs w:val="16"/>
        </w:rPr>
        <w:t>e Base Dr. Ary Pinheiro - HBAP,</w:t>
      </w:r>
      <w:r w:rsidR="00F143B7" w:rsidRPr="00F143B7">
        <w:rPr>
          <w:rFonts w:ascii="Arial" w:hAnsi="Arial" w:cs="Arial"/>
          <w:color w:val="000000" w:themeColor="text1"/>
          <w:sz w:val="16"/>
          <w:szCs w:val="16"/>
        </w:rPr>
        <w:t xml:space="preserve"> Hospital e Pronto Socorro João Paulo II - HPSJP/II e Complexo Hospitalar de Cacoal (Hospital Regional de Cacoal e Hospital de Urgência e Emergência Cacoal)</w:t>
      </w:r>
      <w:r w:rsidR="009F78DE" w:rsidRPr="00F143B7">
        <w:rPr>
          <w:rFonts w:ascii="Arial" w:hAnsi="Arial" w:cs="Arial"/>
          <w:color w:val="000000" w:themeColor="text1"/>
          <w:sz w:val="16"/>
          <w:szCs w:val="16"/>
        </w:rPr>
        <w:t>,</w:t>
      </w:r>
      <w:r w:rsidR="009F78DE" w:rsidRPr="009F78DE">
        <w:rPr>
          <w:rFonts w:ascii="Arial" w:hAnsi="Arial" w:cs="Arial"/>
          <w:bCs/>
          <w:sz w:val="16"/>
          <w:szCs w:val="16"/>
        </w:rPr>
        <w:t xml:space="preserve"> 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Pr="009F78DE"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futura e eventual </w:t>
      </w:r>
      <w:r w:rsidR="00F143B7" w:rsidRPr="00F143B7">
        <w:rPr>
          <w:rFonts w:ascii="Arial" w:hAnsi="Arial" w:cs="Arial"/>
          <w:bCs/>
          <w:sz w:val="16"/>
          <w:szCs w:val="16"/>
        </w:rPr>
        <w:t>aquisição de artigos médicos hospitalares, visando atender demanda do Centro de Neurocirurgia do Hospital de Base Dr. Ary Pinheiro - HBAP,</w:t>
      </w:r>
      <w:proofErr w:type="gramStart"/>
      <w:r w:rsidR="00F143B7" w:rsidRPr="00F143B7">
        <w:rPr>
          <w:rFonts w:ascii="Arial" w:hAnsi="Arial" w:cs="Arial"/>
          <w:bCs/>
          <w:sz w:val="16"/>
          <w:szCs w:val="16"/>
        </w:rPr>
        <w:t xml:space="preserve">  </w:t>
      </w:r>
      <w:proofErr w:type="gramEnd"/>
      <w:r w:rsidR="00F143B7" w:rsidRPr="00F143B7">
        <w:rPr>
          <w:rFonts w:ascii="Arial" w:hAnsi="Arial" w:cs="Arial"/>
          <w:bCs/>
          <w:sz w:val="16"/>
          <w:szCs w:val="16"/>
        </w:rPr>
        <w:t>Hospital e Pronto Socorro João Paulo II - HPSJP/II e Complexo Hospitalar de Cacoal (Hospital Regional de Cacoal e Hospital de Urgência e Emergência Cacoal)</w:t>
      </w:r>
      <w:r w:rsidR="009F78DE" w:rsidRPr="009F78DE">
        <w:rPr>
          <w:rFonts w:ascii="Arial" w:hAnsi="Arial" w:cs="Arial"/>
          <w:bCs/>
          <w:sz w:val="16"/>
          <w:szCs w:val="16"/>
        </w:rPr>
        <w:t>, a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9DE" w:rsidRDefault="002069DE" w:rsidP="002069DE">
      <w:pPr>
        <w:pStyle w:val="Corpodetexto3"/>
        <w:tabs>
          <w:tab w:val="left" w:pos="900"/>
        </w:tabs>
        <w:ind w:left="360" w:right="47"/>
        <w:rPr>
          <w:rFonts w:ascii="Arial" w:hAnsi="Arial" w:cs="Arial"/>
          <w:sz w:val="16"/>
          <w:szCs w:val="16"/>
        </w:rPr>
      </w:pP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A5836" w:rsidTr="00DE77D2">
        <w:trPr>
          <w:gridBefore w:val="1"/>
          <w:wBefore w:w="32" w:type="pct"/>
        </w:trPr>
        <w:tc>
          <w:tcPr>
            <w:tcW w:w="4968" w:type="pct"/>
            <w:tcBorders>
              <w:top w:val="nil"/>
              <w:left w:val="nil"/>
              <w:bottom w:val="nil"/>
              <w:right w:val="nil"/>
            </w:tcBorders>
          </w:tcPr>
          <w:p w:rsidR="00F143B7" w:rsidRPr="002069DE" w:rsidRDefault="00CF6980" w:rsidP="00F143B7">
            <w:pPr>
              <w:pStyle w:val="PargrafodaLista"/>
              <w:numPr>
                <w:ilvl w:val="1"/>
                <w:numId w:val="2"/>
              </w:numPr>
              <w:tabs>
                <w:tab w:val="clear" w:pos="360"/>
                <w:tab w:val="num" w:pos="355"/>
              </w:tabs>
              <w:jc w:val="both"/>
              <w:rPr>
                <w:rFonts w:ascii="Arial" w:hAnsi="Arial" w:cs="Arial"/>
                <w:b/>
                <w:sz w:val="16"/>
                <w:szCs w:val="16"/>
              </w:rPr>
            </w:pPr>
            <w:r w:rsidRPr="002069DE">
              <w:rPr>
                <w:rFonts w:ascii="Arial" w:hAnsi="Arial" w:cs="Arial"/>
                <w:b/>
                <w:sz w:val="16"/>
                <w:szCs w:val="16"/>
              </w:rPr>
              <w:t>DO PRAZO DE ENTREGA</w:t>
            </w:r>
            <w:r w:rsidR="00214276" w:rsidRPr="002069DE">
              <w:rPr>
                <w:rFonts w:ascii="Arial" w:hAnsi="Arial" w:cs="Arial"/>
                <w:b/>
                <w:sz w:val="16"/>
                <w:szCs w:val="16"/>
              </w:rPr>
              <w:t>:</w:t>
            </w:r>
            <w:r w:rsidR="00214276" w:rsidRPr="002069DE">
              <w:rPr>
                <w:rFonts w:asciiTheme="minorHAnsi" w:hAnsiTheme="minorHAnsi"/>
                <w:color w:val="000000" w:themeColor="text1"/>
              </w:rPr>
              <w:t xml:space="preserve"> </w:t>
            </w:r>
          </w:p>
          <w:p w:rsidR="002069DE" w:rsidRDefault="002069DE" w:rsidP="002069DE">
            <w:pPr>
              <w:pStyle w:val="PargrafodaLista"/>
              <w:tabs>
                <w:tab w:val="num" w:pos="355"/>
              </w:tabs>
              <w:ind w:left="360"/>
              <w:jc w:val="both"/>
              <w:rPr>
                <w:rFonts w:ascii="Arial" w:hAnsi="Arial" w:cs="Arial"/>
                <w:sz w:val="16"/>
                <w:szCs w:val="16"/>
              </w:rPr>
            </w:pPr>
          </w:p>
          <w:p w:rsidR="002069DE" w:rsidRPr="002069DE" w:rsidRDefault="002069DE" w:rsidP="002069DE">
            <w:pPr>
              <w:jc w:val="both"/>
              <w:rPr>
                <w:rFonts w:ascii="Arial" w:hAnsi="Arial" w:cs="Arial"/>
                <w:sz w:val="16"/>
                <w:szCs w:val="16"/>
              </w:rPr>
            </w:pPr>
            <w:r>
              <w:rPr>
                <w:rFonts w:ascii="Arial" w:hAnsi="Arial" w:cs="Arial"/>
                <w:sz w:val="16"/>
                <w:szCs w:val="16"/>
              </w:rPr>
              <w:t>6.3</w:t>
            </w:r>
            <w:r w:rsidRPr="002069DE">
              <w:rPr>
                <w:rFonts w:ascii="Arial" w:hAnsi="Arial" w:cs="Arial"/>
                <w:sz w:val="16"/>
                <w:szCs w:val="16"/>
              </w:rPr>
              <w:t>.1 O prazo de vigência do Registro de Preço será de 12 (doze) meses contados a partir da publicação da Ata de Registro de Preços no Diário Oficial do Estado. Deverão ser observadas as disposições contidas no art. 15,§ 3°, III da Lei Federal 8.666/93;</w:t>
            </w:r>
          </w:p>
          <w:p w:rsidR="002069DE" w:rsidRPr="002069DE" w:rsidRDefault="002069DE" w:rsidP="002069DE">
            <w:pPr>
              <w:jc w:val="both"/>
              <w:rPr>
                <w:rFonts w:ascii="Arial" w:hAnsi="Arial" w:cs="Arial"/>
                <w:sz w:val="16"/>
                <w:szCs w:val="16"/>
              </w:rPr>
            </w:pPr>
          </w:p>
          <w:p w:rsidR="002069DE" w:rsidRPr="002069DE" w:rsidRDefault="002069DE" w:rsidP="002069DE">
            <w:pPr>
              <w:jc w:val="both"/>
              <w:rPr>
                <w:rFonts w:ascii="Arial" w:hAnsi="Arial" w:cs="Arial"/>
                <w:sz w:val="16"/>
                <w:szCs w:val="16"/>
              </w:rPr>
            </w:pPr>
            <w:r>
              <w:rPr>
                <w:rFonts w:ascii="Arial" w:hAnsi="Arial" w:cs="Arial"/>
                <w:sz w:val="16"/>
                <w:szCs w:val="16"/>
              </w:rPr>
              <w:t>6.3</w:t>
            </w:r>
            <w:r w:rsidRPr="002069DE">
              <w:rPr>
                <w:rFonts w:ascii="Arial" w:hAnsi="Arial" w:cs="Arial"/>
                <w:sz w:val="16"/>
                <w:szCs w:val="16"/>
              </w:rPr>
              <w:t>.2 A entrega deverá ocorrer conforme solicitação via requisição da Secretaria de Saúde com definição da quantidade no prazo de até 30 dias após emissão da Nota de Empenho.</w:t>
            </w:r>
          </w:p>
          <w:p w:rsidR="002069DE" w:rsidRPr="002069DE" w:rsidRDefault="002069DE" w:rsidP="002069DE">
            <w:pPr>
              <w:pStyle w:val="PargrafodaLista"/>
              <w:tabs>
                <w:tab w:val="num" w:pos="355"/>
              </w:tabs>
              <w:ind w:left="360"/>
              <w:jc w:val="both"/>
              <w:rPr>
                <w:rFonts w:ascii="Arial" w:hAnsi="Arial" w:cs="Arial"/>
                <w:b/>
                <w:sz w:val="16"/>
                <w:szCs w:val="16"/>
              </w:rPr>
            </w:pPr>
          </w:p>
          <w:p w:rsidR="00F143B7" w:rsidRPr="00F143B7" w:rsidRDefault="00F143B7" w:rsidP="00F143B7">
            <w:pPr>
              <w:pStyle w:val="PargrafodaLista"/>
              <w:tabs>
                <w:tab w:val="num" w:pos="355"/>
              </w:tabs>
              <w:ind w:left="360"/>
              <w:jc w:val="both"/>
              <w:rPr>
                <w:rFonts w:ascii="Arial" w:hAnsi="Arial" w:cs="Arial"/>
                <w:sz w:val="16"/>
                <w:szCs w:val="16"/>
              </w:rPr>
            </w:pPr>
          </w:p>
        </w:tc>
      </w:tr>
      <w:tr w:rsidR="006B04DB" w:rsidRPr="009F78DE" w:rsidTr="00DE77D2">
        <w:tc>
          <w:tcPr>
            <w:tcW w:w="5000" w:type="pct"/>
            <w:gridSpan w:val="2"/>
            <w:tcBorders>
              <w:top w:val="nil"/>
              <w:left w:val="nil"/>
              <w:bottom w:val="nil"/>
              <w:right w:val="nil"/>
            </w:tcBorders>
          </w:tcPr>
          <w:p w:rsidR="006B04DB" w:rsidRDefault="00CF6980" w:rsidP="00125D50">
            <w:pPr>
              <w:pStyle w:val="PargrafodaLista"/>
              <w:numPr>
                <w:ilvl w:val="1"/>
                <w:numId w:val="2"/>
              </w:numPr>
              <w:jc w:val="both"/>
              <w:rPr>
                <w:rFonts w:ascii="Arial" w:hAnsi="Arial" w:cs="Arial"/>
                <w:sz w:val="16"/>
                <w:szCs w:val="16"/>
              </w:rPr>
            </w:pPr>
            <w:r w:rsidRPr="009F78DE">
              <w:rPr>
                <w:rFonts w:ascii="Arial" w:hAnsi="Arial" w:cs="Arial"/>
                <w:b/>
                <w:sz w:val="16"/>
                <w:szCs w:val="16"/>
              </w:rPr>
              <w:lastRenderedPageBreak/>
              <w:t>DO LOCAL DE ENTREGA</w:t>
            </w:r>
            <w:r w:rsidR="006B04DB" w:rsidRPr="009F78DE">
              <w:rPr>
                <w:rFonts w:ascii="Arial" w:hAnsi="Arial" w:cs="Arial"/>
                <w:b/>
                <w:sz w:val="16"/>
                <w:szCs w:val="16"/>
              </w:rPr>
              <w:t>:</w:t>
            </w:r>
            <w:r w:rsidR="006B04DB" w:rsidRPr="009F78DE">
              <w:rPr>
                <w:rFonts w:ascii="Arial" w:hAnsi="Arial" w:cs="Arial"/>
                <w:sz w:val="16"/>
                <w:szCs w:val="16"/>
              </w:rPr>
              <w:t xml:space="preserve"> </w:t>
            </w:r>
            <w:r w:rsidR="00F143B7" w:rsidRPr="00F143B7">
              <w:rPr>
                <w:rFonts w:ascii="Arial" w:hAnsi="Arial" w:cs="Arial"/>
                <w:sz w:val="16"/>
                <w:szCs w:val="16"/>
              </w:rPr>
              <w:t xml:space="preserve">Após solicitação deverá ser efetuada a entrega dos materiais na Central de Abastecimento Farmacêutico - CAF II: Rua Aparício de Moraes, 4373, Setor Industrial - Porto Velho/RO. Os dias de funcionamento são de segunda a sexta-feira, sendo de 07h30min </w:t>
            </w:r>
            <w:proofErr w:type="gramStart"/>
            <w:r w:rsidR="00F143B7" w:rsidRPr="00F143B7">
              <w:rPr>
                <w:rFonts w:ascii="Arial" w:hAnsi="Arial" w:cs="Arial"/>
                <w:sz w:val="16"/>
                <w:szCs w:val="16"/>
              </w:rPr>
              <w:t>às</w:t>
            </w:r>
            <w:proofErr w:type="gramEnd"/>
            <w:r w:rsidR="00F143B7" w:rsidRPr="00F143B7">
              <w:rPr>
                <w:rFonts w:ascii="Arial" w:hAnsi="Arial" w:cs="Arial"/>
                <w:sz w:val="16"/>
                <w:szCs w:val="16"/>
              </w:rPr>
              <w:t xml:space="preserve"> 17h30min.</w:t>
            </w:r>
          </w:p>
          <w:p w:rsidR="00125D50" w:rsidRPr="00125D50" w:rsidRDefault="00125D50" w:rsidP="00125D50">
            <w:pPr>
              <w:pStyle w:val="PargrafodaLista"/>
              <w:ind w:left="360"/>
              <w:jc w:val="both"/>
              <w:rPr>
                <w:sz w:val="22"/>
                <w:szCs w:val="22"/>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2069DE" w:rsidRDefault="002069DE" w:rsidP="002069DE">
      <w:pPr>
        <w:pStyle w:val="Lista2"/>
        <w:ind w:left="360" w:firstLine="0"/>
        <w:jc w:val="both"/>
        <w:rPr>
          <w:b/>
          <w:bCs/>
          <w:sz w:val="16"/>
          <w:szCs w:val="16"/>
        </w:rPr>
      </w:pPr>
    </w:p>
    <w:p w:rsidR="002069DE" w:rsidRPr="002069DE" w:rsidRDefault="002069DE" w:rsidP="002069DE">
      <w:pPr>
        <w:jc w:val="both"/>
        <w:rPr>
          <w:rFonts w:ascii="Arial" w:hAnsi="Arial" w:cs="Arial"/>
          <w:sz w:val="16"/>
          <w:szCs w:val="16"/>
        </w:rPr>
      </w:pPr>
      <w:r>
        <w:rPr>
          <w:rFonts w:ascii="Arial" w:hAnsi="Arial" w:cs="Arial"/>
          <w:sz w:val="16"/>
          <w:szCs w:val="16"/>
        </w:rPr>
        <w:t>9</w:t>
      </w:r>
      <w:r w:rsidRPr="002069DE">
        <w:rPr>
          <w:rFonts w:ascii="Arial" w:hAnsi="Arial" w:cs="Arial"/>
          <w:sz w:val="16"/>
          <w:szCs w:val="16"/>
        </w:rPr>
        <w:t>.1. Cobrança pelo Estado, por via administrativa ou judicial, de multa equivalente a 1% (um por cento) do valor estimado pelo item ofertado.</w:t>
      </w:r>
    </w:p>
    <w:p w:rsidR="002069DE" w:rsidRDefault="002069DE" w:rsidP="002069DE">
      <w:pPr>
        <w:shd w:val="clear" w:color="auto" w:fill="FFFFFF"/>
        <w:jc w:val="both"/>
        <w:rPr>
          <w:b/>
          <w:sz w:val="22"/>
          <w:szCs w:val="22"/>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 xml:space="preserve">9.3. Salvo ocorrência de caso fortuito ou de força maior, devidamente justificada e comprovada, o não cumprimento, por parte da empresa detentora da Ata, das obrigações assumidas, ou a </w:t>
      </w:r>
      <w:proofErr w:type="spellStart"/>
      <w:r w:rsidRPr="002069DE">
        <w:rPr>
          <w:rFonts w:ascii="Arial" w:hAnsi="Arial" w:cs="Arial"/>
          <w:sz w:val="16"/>
          <w:szCs w:val="16"/>
        </w:rPr>
        <w:t>infringência</w:t>
      </w:r>
      <w:proofErr w:type="spellEnd"/>
      <w:r w:rsidRPr="002069DE">
        <w:rPr>
          <w:rFonts w:ascii="Arial" w:hAnsi="Arial" w:cs="Arial"/>
          <w:sz w:val="16"/>
          <w:szCs w:val="16"/>
        </w:rPr>
        <w:t xml:space="preserve"> de preceitos legais pertinentes, ensejará a aplicação, segundo a gravidade da falta, das seguintes penalidades:</w:t>
      </w:r>
    </w:p>
    <w:p w:rsidR="002069DE" w:rsidRDefault="002069DE" w:rsidP="002069DE">
      <w:pPr>
        <w:shd w:val="clear" w:color="auto" w:fill="FFFFFF"/>
        <w:jc w:val="both"/>
        <w:rPr>
          <w:b/>
          <w:sz w:val="22"/>
          <w:szCs w:val="22"/>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9.3.2. Multa de 0,2% (dois décimos por cento) ao dia, por atraso no fornecimento e por entrega  em desacordo com as especificações estabelecidas neste Edital, até o décimo dia corrido;</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9.3.3. Multa de 10% (dez por cento), na hipótese de inexecução parcial ou total de cada Nota de Empenho, calculada sobre o valor da parcela</w:t>
      </w:r>
      <w:proofErr w:type="gramStart"/>
      <w:r w:rsidRPr="002069DE">
        <w:rPr>
          <w:rFonts w:ascii="Arial" w:hAnsi="Arial" w:cs="Arial"/>
          <w:sz w:val="16"/>
          <w:szCs w:val="16"/>
        </w:rPr>
        <w:t xml:space="preserve">  </w:t>
      </w:r>
      <w:proofErr w:type="gramEnd"/>
      <w:r w:rsidRPr="002069DE">
        <w:rPr>
          <w:rFonts w:ascii="Arial" w:hAnsi="Arial" w:cs="Arial"/>
          <w:sz w:val="16"/>
          <w:szCs w:val="16"/>
        </w:rPr>
        <w:t>inadimplida, corrigida e atualizado, comutável com as demais sanções, inclusão rescisão contratual, ser for o caso;</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9.4. As multas serão, após regular processo administrativo, descontadas dos créditos da empresa detentora da Ata ou, se for o caso, cobrada administrativa ou judicialmente.</w:t>
      </w:r>
    </w:p>
    <w:p w:rsidR="002069DE" w:rsidRDefault="002069DE" w:rsidP="002069DE">
      <w:pPr>
        <w:jc w:val="both"/>
        <w:rPr>
          <w:b/>
          <w:sz w:val="22"/>
          <w:szCs w:val="22"/>
          <w:shd w:val="clear" w:color="auto" w:fill="FFFFFF"/>
        </w:rPr>
      </w:pPr>
    </w:p>
    <w:p w:rsidR="002069DE" w:rsidRPr="002069DE" w:rsidRDefault="002069DE" w:rsidP="002069DE">
      <w:pPr>
        <w:jc w:val="both"/>
        <w:rPr>
          <w:rFonts w:ascii="Arial" w:hAnsi="Arial" w:cs="Arial"/>
          <w:sz w:val="16"/>
          <w:szCs w:val="16"/>
        </w:rPr>
      </w:pPr>
      <w:r w:rsidRPr="002069DE">
        <w:rPr>
          <w:rFonts w:ascii="Arial" w:hAnsi="Arial" w:cs="Arial"/>
          <w:sz w:val="16"/>
          <w:szCs w:val="16"/>
        </w:rPr>
        <w:t xml:space="preserve">9.5. As penalidades previstas neste item têm caráter de sanção administrativa, </w:t>
      </w:r>
      <w:proofErr w:type="spellStart"/>
      <w:r w:rsidRPr="002069DE">
        <w:rPr>
          <w:rFonts w:ascii="Arial" w:hAnsi="Arial" w:cs="Arial"/>
          <w:sz w:val="16"/>
          <w:szCs w:val="16"/>
        </w:rPr>
        <w:t>consequentemente</w:t>
      </w:r>
      <w:proofErr w:type="spellEnd"/>
      <w:r w:rsidRPr="002069DE">
        <w:rPr>
          <w:rFonts w:ascii="Arial" w:hAnsi="Arial" w:cs="Arial"/>
          <w:sz w:val="16"/>
          <w:szCs w:val="16"/>
        </w:rPr>
        <w:t>, a sua aplicação não exime a empresa detentora da Ata da reparação das eventuais perdas e danos que seu ato venha acarretar ao Estado de Rondônia.</w:t>
      </w:r>
    </w:p>
    <w:p w:rsidR="002069DE" w:rsidRPr="002069DE" w:rsidRDefault="002069DE" w:rsidP="002069DE">
      <w:pPr>
        <w:jc w:val="both"/>
        <w:rPr>
          <w:rFonts w:ascii="Arial" w:hAnsi="Arial" w:cs="Arial"/>
          <w:sz w:val="16"/>
          <w:szCs w:val="16"/>
        </w:rPr>
      </w:pPr>
    </w:p>
    <w:p w:rsidR="002069DE" w:rsidRPr="002069DE" w:rsidRDefault="002069DE" w:rsidP="002069DE">
      <w:pPr>
        <w:jc w:val="both"/>
        <w:rPr>
          <w:rFonts w:ascii="Arial" w:hAnsi="Arial" w:cs="Arial"/>
          <w:sz w:val="16"/>
          <w:szCs w:val="16"/>
        </w:rPr>
      </w:pPr>
      <w:r w:rsidRPr="002069DE">
        <w:rPr>
          <w:rFonts w:ascii="Arial" w:hAnsi="Arial" w:cs="Arial"/>
          <w:sz w:val="16"/>
          <w:szCs w:val="16"/>
        </w:rPr>
        <w:t>9.6. As penalidades são independentes e a aplicação de uma não exclui a das demais, quando cabíveis.</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 xml:space="preserve">9.7. Na hipótese de apresentar documentação inverossímil ou de cometer fraude, o licitante poderá </w:t>
      </w:r>
      <w:proofErr w:type="gramStart"/>
      <w:r w:rsidRPr="002069DE">
        <w:rPr>
          <w:rFonts w:ascii="Arial" w:hAnsi="Arial" w:cs="Arial"/>
          <w:sz w:val="16"/>
          <w:szCs w:val="16"/>
        </w:rPr>
        <w:t>sofrer,</w:t>
      </w:r>
      <w:proofErr w:type="gramEnd"/>
      <w:r w:rsidRPr="002069DE">
        <w:rPr>
          <w:rFonts w:ascii="Arial" w:hAnsi="Arial" w:cs="Arial"/>
          <w:sz w:val="16"/>
          <w:szCs w:val="16"/>
        </w:rPr>
        <w:t xml:space="preserve"> sem prejuízo da comunicação do ocorrido ao Ministério Público, quaisquer das sanções adiante previstas, que poderão ser aplicadas cumulativamente:</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9.8. Desclassificação, se a seleção se encontrar em fase de julgamento;</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9.9. Cancelamento do preço registrado, procedendo-se à paralisação do fornecimento.</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9.10. O preço registrado poderá ser cancelado pela Administração Pública, nos termos do Artigo 24 e 25 do Decreto 18.340/13, quando:</w:t>
      </w:r>
    </w:p>
    <w:p w:rsidR="002069DE" w:rsidRDefault="002069DE" w:rsidP="002069DE">
      <w:pPr>
        <w:shd w:val="clear" w:color="auto" w:fill="FFFFFF"/>
        <w:jc w:val="both"/>
        <w:rPr>
          <w:b/>
          <w:sz w:val="22"/>
          <w:szCs w:val="22"/>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9.10.1. A Detentora do Registro de Preço deixar de cumprir total ou parcial as condições da Ata de Registro de Preços.</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9.10.2. A Detentora do Registro de Preço não retirar a nota de empenho ou  instrumento equivalente no prazo estabelecido, sem justificativa aceita pela Administração;</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9.10.3. A detentora incorrer reiteradamente em infrações previstas no Edital;</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9.10.4. A Detentora do Registro de Preço que praticar atos fraudulentos no intuito de auferir vantagem ilícita;</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 xml:space="preserve">9.10.5. Não aceitar reduzir o seu preço registrado, na hipótese deste se tornar superior aqueles praticados no mercador ou sofrer sanção prevista nos </w:t>
      </w:r>
      <w:proofErr w:type="gramStart"/>
      <w:r w:rsidRPr="002069DE">
        <w:rPr>
          <w:rFonts w:ascii="Arial" w:hAnsi="Arial" w:cs="Arial"/>
          <w:sz w:val="16"/>
          <w:szCs w:val="16"/>
        </w:rPr>
        <w:t>incisos III ou IV do caput</w:t>
      </w:r>
      <w:proofErr w:type="gramEnd"/>
      <w:r w:rsidRPr="002069DE">
        <w:rPr>
          <w:rFonts w:ascii="Arial" w:hAnsi="Arial" w:cs="Arial"/>
          <w:sz w:val="16"/>
          <w:szCs w:val="16"/>
        </w:rPr>
        <w:t>  do artigo 87 da Lei 8.666/93 ou no artigo 7º da Lei 10.520/02.</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9.10.6.  Por razões de interesse público, mediante despacho motivado, devidamente justificado.</w:t>
      </w:r>
    </w:p>
    <w:p w:rsidR="002069DE" w:rsidRDefault="002069DE" w:rsidP="002069DE">
      <w:pPr>
        <w:shd w:val="clear" w:color="auto" w:fill="FFFFFF"/>
        <w:jc w:val="both"/>
        <w:rPr>
          <w:b/>
          <w:sz w:val="22"/>
          <w:szCs w:val="22"/>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9.10.7.  O cancelamento do Registro de Pre</w:t>
      </w:r>
      <w:r>
        <w:rPr>
          <w:rFonts w:ascii="Arial" w:hAnsi="Arial" w:cs="Arial"/>
          <w:sz w:val="16"/>
          <w:szCs w:val="16"/>
        </w:rPr>
        <w:t xml:space="preserve">ço nas hipóteses nos </w:t>
      </w:r>
      <w:proofErr w:type="gramStart"/>
      <w:r>
        <w:rPr>
          <w:rFonts w:ascii="Arial" w:hAnsi="Arial" w:cs="Arial"/>
          <w:sz w:val="16"/>
          <w:szCs w:val="16"/>
        </w:rPr>
        <w:t>sub itens</w:t>
      </w:r>
      <w:proofErr w:type="gramEnd"/>
      <w:r>
        <w:rPr>
          <w:rFonts w:ascii="Arial" w:hAnsi="Arial" w:cs="Arial"/>
          <w:sz w:val="16"/>
          <w:szCs w:val="16"/>
        </w:rPr>
        <w:t xml:space="preserve"> 9.10.1, 9.10.2, 9</w:t>
      </w:r>
      <w:r w:rsidRPr="002069DE">
        <w:rPr>
          <w:rFonts w:ascii="Arial" w:hAnsi="Arial" w:cs="Arial"/>
          <w:sz w:val="16"/>
          <w:szCs w:val="16"/>
        </w:rPr>
        <w:t>.10.5 será formalizado por despacho do órgão gerenciador, assegurado o contraditório e a ampla defesa.</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t>9.10.8.  O cancelamento do Registro de Preço nas h</w:t>
      </w:r>
      <w:r>
        <w:rPr>
          <w:rFonts w:ascii="Arial" w:hAnsi="Arial" w:cs="Arial"/>
          <w:sz w:val="16"/>
          <w:szCs w:val="16"/>
        </w:rPr>
        <w:t xml:space="preserve">ipóteses dos </w:t>
      </w:r>
      <w:proofErr w:type="gramStart"/>
      <w:r>
        <w:rPr>
          <w:rFonts w:ascii="Arial" w:hAnsi="Arial" w:cs="Arial"/>
          <w:sz w:val="16"/>
          <w:szCs w:val="16"/>
        </w:rPr>
        <w:t>sub itens</w:t>
      </w:r>
      <w:proofErr w:type="gramEnd"/>
      <w:r>
        <w:rPr>
          <w:rFonts w:ascii="Arial" w:hAnsi="Arial" w:cs="Arial"/>
          <w:sz w:val="16"/>
          <w:szCs w:val="16"/>
        </w:rPr>
        <w:t xml:space="preserve"> 9.10.1 e 9</w:t>
      </w:r>
      <w:r w:rsidRPr="002069DE">
        <w:rPr>
          <w:rFonts w:ascii="Arial" w:hAnsi="Arial" w:cs="Arial"/>
          <w:sz w:val="16"/>
          <w:szCs w:val="16"/>
        </w:rPr>
        <w:t>.10.2 acarretará ainda a aplicação das penalidades cabíveis, assegurado o contraditório e a ampla defesa.</w:t>
      </w:r>
    </w:p>
    <w:p w:rsidR="002069DE" w:rsidRPr="002069DE" w:rsidRDefault="002069DE" w:rsidP="002069DE">
      <w:pPr>
        <w:shd w:val="clear" w:color="auto" w:fill="FFFFFF"/>
        <w:jc w:val="both"/>
        <w:rPr>
          <w:rFonts w:ascii="Arial" w:hAnsi="Arial" w:cs="Arial"/>
          <w:sz w:val="16"/>
          <w:szCs w:val="16"/>
        </w:rPr>
      </w:pPr>
    </w:p>
    <w:p w:rsidR="002069DE" w:rsidRPr="002069DE" w:rsidRDefault="002069DE" w:rsidP="002069DE">
      <w:pPr>
        <w:shd w:val="clear" w:color="auto" w:fill="FFFFFF"/>
        <w:jc w:val="both"/>
        <w:rPr>
          <w:rFonts w:ascii="Arial" w:hAnsi="Arial" w:cs="Arial"/>
          <w:sz w:val="16"/>
          <w:szCs w:val="16"/>
        </w:rPr>
      </w:pPr>
      <w:r w:rsidRPr="002069DE">
        <w:rPr>
          <w:rFonts w:ascii="Arial" w:hAnsi="Arial" w:cs="Arial"/>
          <w:sz w:val="16"/>
          <w:szCs w:val="16"/>
        </w:rPr>
        <w:lastRenderedPageBreak/>
        <w:t>9.10.9.  O cancelamento do Registro de Preços poderá ocorrer por fato superveniente, decorrente de caso fortuito ou força maior, que prejudique o cumprimento da ata, devidamente comprovados e justificados:</w:t>
      </w:r>
    </w:p>
    <w:p w:rsidR="002069DE" w:rsidRPr="002069DE" w:rsidRDefault="002069DE" w:rsidP="002069DE">
      <w:pPr>
        <w:jc w:val="both"/>
        <w:rPr>
          <w:rFonts w:ascii="Arial" w:hAnsi="Arial" w:cs="Arial"/>
          <w:sz w:val="16"/>
          <w:szCs w:val="16"/>
        </w:rPr>
      </w:pPr>
    </w:p>
    <w:p w:rsidR="002069DE" w:rsidRPr="002069DE" w:rsidRDefault="002069DE" w:rsidP="002069DE">
      <w:pPr>
        <w:jc w:val="both"/>
        <w:rPr>
          <w:rFonts w:ascii="Arial" w:hAnsi="Arial" w:cs="Arial"/>
          <w:sz w:val="16"/>
          <w:szCs w:val="16"/>
        </w:rPr>
      </w:pPr>
      <w:r w:rsidRPr="002069DE">
        <w:rPr>
          <w:rFonts w:ascii="Arial" w:hAnsi="Arial" w:cs="Arial"/>
          <w:sz w:val="16"/>
          <w:szCs w:val="16"/>
        </w:rPr>
        <w:t>9.10.9.1 por razões de interesse público ou</w:t>
      </w:r>
    </w:p>
    <w:p w:rsidR="002069DE" w:rsidRPr="002069DE" w:rsidRDefault="002069DE" w:rsidP="002069DE">
      <w:pPr>
        <w:jc w:val="both"/>
        <w:rPr>
          <w:rFonts w:ascii="Arial" w:hAnsi="Arial" w:cs="Arial"/>
          <w:sz w:val="16"/>
          <w:szCs w:val="16"/>
        </w:rPr>
      </w:pPr>
    </w:p>
    <w:p w:rsidR="002069DE" w:rsidRPr="002069DE" w:rsidRDefault="002069DE" w:rsidP="002069DE">
      <w:pPr>
        <w:jc w:val="both"/>
        <w:rPr>
          <w:rFonts w:ascii="Arial" w:hAnsi="Arial" w:cs="Arial"/>
          <w:sz w:val="16"/>
          <w:szCs w:val="16"/>
        </w:rPr>
      </w:pPr>
      <w:r w:rsidRPr="002069DE">
        <w:rPr>
          <w:rFonts w:ascii="Arial" w:hAnsi="Arial" w:cs="Arial"/>
          <w:sz w:val="16"/>
          <w:szCs w:val="16"/>
        </w:rPr>
        <w:t>9.10.9.2 a pedido do fornecedor.</w:t>
      </w:r>
    </w:p>
    <w:p w:rsidR="002069DE" w:rsidRPr="00903F42" w:rsidRDefault="002069DE" w:rsidP="002069DE">
      <w:pPr>
        <w:pStyle w:val="Lista2"/>
        <w:ind w:left="360" w:firstLine="0"/>
        <w:jc w:val="both"/>
        <w:rPr>
          <w:b/>
          <w:bCs/>
          <w:sz w:val="16"/>
          <w:szCs w:val="16"/>
        </w:rPr>
      </w:pPr>
    </w:p>
    <w:p w:rsidR="009F78DE" w:rsidRDefault="008E4E8A" w:rsidP="009F78DE">
      <w:pPr>
        <w:pStyle w:val="Lista2"/>
        <w:ind w:left="0" w:firstLine="0"/>
        <w:rPr>
          <w:b/>
          <w:bCs/>
          <w:sz w:val="16"/>
          <w:szCs w:val="16"/>
        </w:rPr>
      </w:pPr>
      <w:r w:rsidRPr="009F78DE">
        <w:rPr>
          <w:b/>
          <w:bCs/>
          <w:sz w:val="16"/>
          <w:szCs w:val="16"/>
        </w:rPr>
        <w:t xml:space="preserve">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lastRenderedPageBreak/>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SUELEN TORRES DA SILVA</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2069DE">
        <w:rPr>
          <w:rFonts w:ascii="Arial" w:hAnsi="Arial" w:cs="Arial"/>
          <w:bCs/>
          <w:color w:val="000000"/>
          <w:sz w:val="16"/>
          <w:szCs w:val="16"/>
        </w:rPr>
        <w:t xml:space="preserve"> Interina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2069D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3B7" w:rsidRDefault="00F143B7">
      <w:r>
        <w:separator/>
      </w:r>
    </w:p>
  </w:endnote>
  <w:endnote w:type="continuationSeparator" w:id="1">
    <w:p w:rsidR="00F143B7" w:rsidRDefault="00F143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3B7" w:rsidRDefault="00F143B7">
      <w:r>
        <w:separator/>
      </w:r>
    </w:p>
  </w:footnote>
  <w:footnote w:type="continuationSeparator" w:id="1">
    <w:p w:rsidR="00F143B7" w:rsidRDefault="00F143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3B7" w:rsidRDefault="00F143B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146BC2-2FB5-4A1D-9D27-B2C64A232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2660</Words>
  <Characters>14896</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2017-09-26T18:51:00Z</cp:lastPrinted>
  <dcterms:created xsi:type="dcterms:W3CDTF">2017-09-26T18:26:00Z</dcterms:created>
  <dcterms:modified xsi:type="dcterms:W3CDTF">2017-09-26T18:53:00Z</dcterms:modified>
</cp:coreProperties>
</file>