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259F4">
        <w:rPr>
          <w:rFonts w:ascii="Arial" w:hAnsi="Arial" w:cs="Arial"/>
          <w:b/>
          <w:sz w:val="16"/>
          <w:szCs w:val="16"/>
        </w:rPr>
        <w:t>198</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259F4">
        <w:rPr>
          <w:rFonts w:ascii="Arial" w:hAnsi="Arial" w:cs="Arial"/>
          <w:b/>
          <w:bCs/>
          <w:sz w:val="16"/>
          <w:szCs w:val="16"/>
        </w:rPr>
        <w:t>25</w:t>
      </w:r>
      <w:r w:rsidR="00C308CC">
        <w:rPr>
          <w:rFonts w:ascii="Arial" w:hAnsi="Arial" w:cs="Arial"/>
          <w:b/>
          <w:bCs/>
          <w:sz w:val="16"/>
          <w:szCs w:val="16"/>
        </w:rPr>
        <w:t>9</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C80482">
        <w:rPr>
          <w:rFonts w:ascii="Arial" w:hAnsi="Arial" w:cs="Arial"/>
          <w:b/>
          <w:bCs/>
          <w:sz w:val="16"/>
          <w:szCs w:val="16"/>
        </w:rPr>
        <w:t>01</w:t>
      </w:r>
      <w:r w:rsidR="009259F4">
        <w:rPr>
          <w:rFonts w:ascii="Arial" w:hAnsi="Arial" w:cs="Arial"/>
          <w:b/>
          <w:bCs/>
          <w:sz w:val="16"/>
          <w:szCs w:val="16"/>
        </w:rPr>
        <w:t>.</w:t>
      </w:r>
      <w:proofErr w:type="gramEnd"/>
      <w:r w:rsidR="009259F4">
        <w:rPr>
          <w:rFonts w:ascii="Arial" w:hAnsi="Arial" w:cs="Arial"/>
          <w:b/>
          <w:bCs/>
          <w:sz w:val="16"/>
          <w:szCs w:val="16"/>
        </w:rPr>
        <w:t>10732</w:t>
      </w:r>
      <w:r w:rsidR="00A848CB">
        <w:rPr>
          <w:rFonts w:ascii="Arial" w:hAnsi="Arial" w:cs="Arial"/>
          <w:b/>
          <w:bCs/>
          <w:sz w:val="16"/>
          <w:szCs w:val="16"/>
        </w:rPr>
        <w:t>-00/201</w:t>
      </w:r>
      <w:r w:rsidR="009259F4">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A212A5" w:rsidRPr="00A848CB">
        <w:rPr>
          <w:rFonts w:ascii="Arial" w:hAnsi="Arial" w:cs="Arial"/>
          <w:sz w:val="16"/>
          <w:szCs w:val="16"/>
        </w:rPr>
        <w:t xml:space="preserve">para </w:t>
      </w:r>
      <w:r w:rsidR="00A723E8" w:rsidRPr="00A848CB">
        <w:rPr>
          <w:rFonts w:ascii="Arial" w:hAnsi="Arial" w:cs="Arial"/>
          <w:sz w:val="16"/>
          <w:szCs w:val="16"/>
        </w:rPr>
        <w:t xml:space="preserve">futura e eventual </w:t>
      </w:r>
      <w:r w:rsidR="00863264" w:rsidRPr="009259F4">
        <w:rPr>
          <w:rFonts w:ascii="Arial" w:hAnsi="Arial" w:cs="Arial"/>
          <w:sz w:val="16"/>
          <w:szCs w:val="16"/>
        </w:rPr>
        <w:t>contratação de empresa especializada na Prestação de Serviço de confecção e fornecimento de diversos tipos de carimbos, refis e tintas para os carimbos</w:t>
      </w:r>
      <w:r w:rsidR="00DB0F17">
        <w:rPr>
          <w:rFonts w:ascii="Arial" w:hAnsi="Arial" w:cs="Arial"/>
          <w:color w:val="000000" w:themeColor="text1"/>
          <w:sz w:val="16"/>
          <w:szCs w:val="16"/>
        </w:rPr>
        <w:t xml:space="preserve">, a pedido da </w:t>
      </w:r>
      <w:r w:rsidR="00060FB8">
        <w:rPr>
          <w:rFonts w:ascii="Arial" w:hAnsi="Arial" w:cs="Arial"/>
          <w:color w:val="000000" w:themeColor="text1"/>
          <w:sz w:val="16"/>
          <w:szCs w:val="16"/>
        </w:rPr>
        <w:t>Secretaria de Estado da E</w:t>
      </w:r>
      <w:r w:rsidR="00C308CC" w:rsidRPr="00C308CC">
        <w:rPr>
          <w:rFonts w:ascii="Arial" w:hAnsi="Arial" w:cs="Arial"/>
          <w:color w:val="000000" w:themeColor="text1"/>
          <w:sz w:val="16"/>
          <w:szCs w:val="16"/>
        </w:rPr>
        <w:t xml:space="preserve">ducação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Pr="009259F4" w:rsidRDefault="002E300A" w:rsidP="008C7613">
      <w:pPr>
        <w:jc w:val="both"/>
        <w:rPr>
          <w:rFonts w:ascii="Arial" w:hAnsi="Arial" w:cs="Arial"/>
          <w:sz w:val="16"/>
          <w:szCs w:val="16"/>
        </w:rPr>
      </w:pPr>
      <w:r w:rsidRPr="009259F4">
        <w:rPr>
          <w:rFonts w:ascii="Arial" w:hAnsi="Arial" w:cs="Arial"/>
          <w:sz w:val="16"/>
          <w:szCs w:val="16"/>
        </w:rPr>
        <w:t>REGISTRAR O PREÇO</w:t>
      </w:r>
      <w:r w:rsidR="00524202" w:rsidRPr="009259F4">
        <w:rPr>
          <w:rFonts w:ascii="Arial" w:hAnsi="Arial" w:cs="Arial"/>
          <w:sz w:val="16"/>
          <w:szCs w:val="16"/>
        </w:rPr>
        <w:t xml:space="preserve"> </w:t>
      </w:r>
      <w:r w:rsidR="00C308CC" w:rsidRPr="00A848CB">
        <w:rPr>
          <w:rFonts w:ascii="Arial" w:hAnsi="Arial" w:cs="Arial"/>
          <w:sz w:val="16"/>
          <w:szCs w:val="16"/>
        </w:rPr>
        <w:t xml:space="preserve">para </w:t>
      </w:r>
      <w:r w:rsidR="00A723E8" w:rsidRPr="00A848CB">
        <w:rPr>
          <w:rFonts w:ascii="Arial" w:hAnsi="Arial" w:cs="Arial"/>
          <w:sz w:val="16"/>
          <w:szCs w:val="16"/>
        </w:rPr>
        <w:t xml:space="preserve">futura e eventual </w:t>
      </w:r>
      <w:r w:rsidR="009259F4" w:rsidRPr="009259F4">
        <w:rPr>
          <w:rFonts w:ascii="Arial" w:hAnsi="Arial" w:cs="Arial"/>
          <w:sz w:val="16"/>
          <w:szCs w:val="16"/>
        </w:rPr>
        <w:t xml:space="preserve">contratação de empresa especializada na Prestação de Serviço de confecção e fornecimento de diversos tipos de </w:t>
      </w:r>
      <w:r w:rsidR="00863264" w:rsidRPr="009259F4">
        <w:rPr>
          <w:rFonts w:ascii="Arial" w:hAnsi="Arial" w:cs="Arial"/>
          <w:sz w:val="16"/>
          <w:szCs w:val="16"/>
        </w:rPr>
        <w:t xml:space="preserve">carimbos, refis e tintas </w:t>
      </w:r>
      <w:r w:rsidR="00DB0F17">
        <w:rPr>
          <w:rFonts w:ascii="Arial" w:hAnsi="Arial" w:cs="Arial"/>
          <w:sz w:val="16"/>
          <w:szCs w:val="16"/>
        </w:rPr>
        <w:t>para os carimbos a pedido da</w:t>
      </w:r>
      <w:r w:rsidR="009259F4" w:rsidRPr="009259F4">
        <w:rPr>
          <w:rFonts w:ascii="Arial" w:hAnsi="Arial" w:cs="Arial"/>
          <w:sz w:val="16"/>
          <w:szCs w:val="16"/>
        </w:rPr>
        <w:t xml:space="preserve"> Secretaria de Estado da Educação – SEDUC.</w:t>
      </w:r>
    </w:p>
    <w:p w:rsidR="009259F4"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137FCC" w:rsidRDefault="00A14D66" w:rsidP="00137FCC">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137FCC" w:rsidRDefault="006B04DB" w:rsidP="00137FCC">
      <w:pPr>
        <w:spacing w:line="360" w:lineRule="auto"/>
        <w:jc w:val="both"/>
        <w:rPr>
          <w:rFonts w:ascii="Arial" w:hAnsi="Arial" w:cs="Arial"/>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9259F4" w:rsidRPr="00DB0F17" w:rsidRDefault="00DE77D2" w:rsidP="00DB0F17">
            <w:pPr>
              <w:pStyle w:val="Corpodetexto3"/>
              <w:tabs>
                <w:tab w:val="left" w:pos="900"/>
              </w:tabs>
              <w:ind w:right="47"/>
              <w:rPr>
                <w:rFonts w:ascii="Arial" w:hAnsi="Arial" w:cs="Arial"/>
                <w:sz w:val="16"/>
                <w:szCs w:val="16"/>
              </w:rPr>
            </w:pPr>
            <w:r w:rsidRPr="00815110">
              <w:rPr>
                <w:rFonts w:ascii="Arial" w:hAnsi="Arial" w:cs="Arial"/>
                <w:sz w:val="16"/>
                <w:szCs w:val="16"/>
              </w:rPr>
              <w:t>6.3</w:t>
            </w:r>
            <w:r w:rsidRPr="00137FCC">
              <w:rPr>
                <w:rFonts w:ascii="Arial" w:hAnsi="Arial" w:cs="Arial"/>
                <w:sz w:val="16"/>
                <w:szCs w:val="16"/>
              </w:rPr>
              <w:t xml:space="preserve">. </w:t>
            </w:r>
            <w:r w:rsidR="00CF6980" w:rsidRPr="00815110">
              <w:rPr>
                <w:rFonts w:ascii="Arial" w:hAnsi="Arial" w:cs="Arial"/>
                <w:b/>
                <w:sz w:val="16"/>
                <w:szCs w:val="16"/>
              </w:rPr>
              <w:t>DO PRAZO DE ENTREGA</w:t>
            </w:r>
            <w:r w:rsidR="00214276" w:rsidRPr="00137FCC">
              <w:rPr>
                <w:rFonts w:ascii="Arial" w:hAnsi="Arial" w:cs="Arial"/>
                <w:sz w:val="16"/>
                <w:szCs w:val="16"/>
              </w:rPr>
              <w:t xml:space="preserve">: </w:t>
            </w:r>
            <w:r w:rsidR="009259F4" w:rsidRPr="009259F4">
              <w:rPr>
                <w:rFonts w:ascii="Arial" w:hAnsi="Arial" w:cs="Arial"/>
                <w:sz w:val="16"/>
                <w:szCs w:val="16"/>
              </w:rPr>
              <w:t>Os prazos máximos para o fornecimento, contados da data de entrega da solicitação de Carimbo, Refis e Tinta à(s) Contratada(s), serão os seguintes</w:t>
            </w:r>
            <w:r w:rsidR="009259F4" w:rsidRPr="003A70FD">
              <w:rPr>
                <w:sz w:val="22"/>
                <w:szCs w:val="22"/>
              </w:rPr>
              <w:t>:</w:t>
            </w:r>
          </w:p>
          <w:p w:rsidR="009259F4" w:rsidRPr="003A70FD" w:rsidRDefault="009259F4" w:rsidP="009259F4">
            <w:pPr>
              <w:shd w:val="clear" w:color="auto" w:fill="FFFFFF"/>
              <w:tabs>
                <w:tab w:val="left" w:pos="0"/>
                <w:tab w:val="left" w:pos="426"/>
              </w:tabs>
              <w:ind w:right="-2"/>
              <w:jc w:val="both"/>
              <w:rPr>
                <w:sz w:val="22"/>
                <w:szCs w:val="22"/>
              </w:rPr>
            </w:pPr>
          </w:p>
          <w:p w:rsidR="009259F4" w:rsidRPr="009259F4" w:rsidRDefault="009259F4" w:rsidP="00863264">
            <w:pPr>
              <w:numPr>
                <w:ilvl w:val="0"/>
                <w:numId w:val="7"/>
              </w:numPr>
              <w:shd w:val="clear" w:color="auto" w:fill="FFFFFF"/>
              <w:tabs>
                <w:tab w:val="left" w:pos="0"/>
                <w:tab w:val="left" w:pos="426"/>
              </w:tabs>
              <w:ind w:left="0" w:right="-2" w:firstLine="0"/>
              <w:jc w:val="both"/>
              <w:rPr>
                <w:rFonts w:ascii="Arial" w:hAnsi="Arial" w:cs="Arial"/>
                <w:sz w:val="16"/>
                <w:szCs w:val="16"/>
              </w:rPr>
            </w:pPr>
            <w:r w:rsidRPr="009259F4">
              <w:rPr>
                <w:rFonts w:ascii="Arial" w:hAnsi="Arial" w:cs="Arial"/>
                <w:sz w:val="16"/>
                <w:szCs w:val="16"/>
              </w:rPr>
              <w:t>De 01 (uma) a 30 (trinta) unidades, até 05 (cinco) dias úteis;</w:t>
            </w:r>
          </w:p>
          <w:p w:rsidR="009259F4" w:rsidRPr="009259F4" w:rsidRDefault="009259F4" w:rsidP="00863264">
            <w:pPr>
              <w:numPr>
                <w:ilvl w:val="0"/>
                <w:numId w:val="7"/>
              </w:numPr>
              <w:shd w:val="clear" w:color="auto" w:fill="FFFFFF"/>
              <w:tabs>
                <w:tab w:val="left" w:pos="0"/>
                <w:tab w:val="left" w:pos="426"/>
              </w:tabs>
              <w:ind w:left="0" w:right="-2" w:firstLine="0"/>
              <w:jc w:val="both"/>
              <w:rPr>
                <w:rFonts w:ascii="Arial" w:hAnsi="Arial" w:cs="Arial"/>
                <w:sz w:val="16"/>
                <w:szCs w:val="16"/>
              </w:rPr>
            </w:pPr>
            <w:r w:rsidRPr="009259F4">
              <w:rPr>
                <w:rFonts w:ascii="Arial" w:hAnsi="Arial" w:cs="Arial"/>
                <w:sz w:val="16"/>
                <w:szCs w:val="16"/>
              </w:rPr>
              <w:t xml:space="preserve">De 30 (trinta) a 70 (setenta) unidades, até 10 (dez) dias úteis; e </w:t>
            </w:r>
          </w:p>
          <w:p w:rsidR="009259F4" w:rsidRPr="00815110" w:rsidRDefault="009259F4" w:rsidP="0091716B">
            <w:pPr>
              <w:numPr>
                <w:ilvl w:val="0"/>
                <w:numId w:val="7"/>
              </w:numPr>
              <w:shd w:val="clear" w:color="auto" w:fill="FFFFFF"/>
              <w:tabs>
                <w:tab w:val="left" w:pos="0"/>
                <w:tab w:val="left" w:pos="426"/>
              </w:tabs>
              <w:ind w:left="0" w:right="-2" w:firstLine="0"/>
              <w:jc w:val="both"/>
              <w:rPr>
                <w:rFonts w:ascii="Arial" w:hAnsi="Arial" w:cs="Arial"/>
                <w:sz w:val="16"/>
                <w:szCs w:val="16"/>
              </w:rPr>
            </w:pPr>
            <w:r w:rsidRPr="009259F4">
              <w:rPr>
                <w:rFonts w:ascii="Arial" w:hAnsi="Arial" w:cs="Arial"/>
                <w:sz w:val="16"/>
                <w:szCs w:val="16"/>
              </w:rPr>
              <w:t>Acima de 70 (setenta) unidades, até 14 (quatorze) dias úteis.</w:t>
            </w:r>
          </w:p>
          <w:p w:rsidR="00DE77D2" w:rsidRPr="00C80482" w:rsidRDefault="00DE77D2" w:rsidP="007621A6">
            <w:pPr>
              <w:tabs>
                <w:tab w:val="num" w:pos="355"/>
              </w:tabs>
              <w:ind w:hanging="71"/>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9259F4" w:rsidRPr="003A70FD" w:rsidRDefault="0091716B" w:rsidP="009259F4">
            <w:pPr>
              <w:shd w:val="clear" w:color="auto" w:fill="FFFFFF"/>
              <w:tabs>
                <w:tab w:val="left" w:pos="0"/>
                <w:tab w:val="left" w:pos="426"/>
              </w:tabs>
              <w:ind w:right="-2"/>
              <w:jc w:val="both"/>
              <w:rPr>
                <w:sz w:val="22"/>
                <w:szCs w:val="22"/>
              </w:rPr>
            </w:pPr>
            <w:r>
              <w:rPr>
                <w:rFonts w:ascii="Arial" w:hAnsi="Arial" w:cs="Arial"/>
                <w:b/>
                <w:sz w:val="16"/>
                <w:szCs w:val="16"/>
              </w:rPr>
              <w:t xml:space="preserve">6.4 </w:t>
            </w:r>
            <w:r w:rsidR="00CF6980" w:rsidRPr="0091716B">
              <w:rPr>
                <w:rFonts w:ascii="Arial" w:hAnsi="Arial" w:cs="Arial"/>
                <w:b/>
                <w:sz w:val="16"/>
                <w:szCs w:val="16"/>
              </w:rPr>
              <w:t>DO LOCAL DE ENTREGA</w:t>
            </w:r>
            <w:r w:rsidR="006B04DB" w:rsidRPr="0091716B">
              <w:rPr>
                <w:rFonts w:ascii="Arial" w:hAnsi="Arial" w:cs="Arial"/>
                <w:b/>
                <w:sz w:val="16"/>
                <w:szCs w:val="16"/>
              </w:rPr>
              <w:t>:</w:t>
            </w:r>
            <w:r w:rsidR="00370949" w:rsidRPr="0091716B">
              <w:rPr>
                <w:rFonts w:ascii="Arial" w:hAnsi="Arial" w:cs="Arial"/>
                <w:b/>
                <w:sz w:val="16"/>
                <w:szCs w:val="16"/>
              </w:rPr>
              <w:t xml:space="preserve"> </w:t>
            </w:r>
            <w:r w:rsidR="009259F4" w:rsidRPr="009259F4">
              <w:rPr>
                <w:rFonts w:ascii="Arial" w:hAnsi="Arial" w:cs="Arial"/>
                <w:sz w:val="16"/>
                <w:szCs w:val="16"/>
              </w:rPr>
              <w:t>Os bens adquiridos deverão ser entregues na Secretaria de Estado da Educação, na Diretoria Administrativa Financeira - DAF/SEDUC, na Rua Padre Chiquinho, nº 580, Bairro Pedrinhas – Palácio Rio Madeira – Edifício Rio Guaporé, em Porto Velho-RO, de segunda à sexta-feira, no horário das 07h30m às 13h30min, mediante prévio agendamento junto a GCOM/SEDUC, pelo telefone: (69) 3216-7363, em embalagens que assegurem sua integridade e possuam todas as informações exigidas no Código de Defesa do Consumidor e em outras normas correlatas.</w:t>
            </w:r>
          </w:p>
          <w:p w:rsidR="0091716B" w:rsidRPr="0091716B" w:rsidRDefault="0091716B" w:rsidP="0091716B">
            <w:pPr>
              <w:shd w:val="clear" w:color="auto" w:fill="FFFFFF"/>
              <w:tabs>
                <w:tab w:val="left" w:pos="0"/>
                <w:tab w:val="left" w:pos="142"/>
                <w:tab w:val="left" w:pos="567"/>
                <w:tab w:val="left" w:pos="709"/>
              </w:tabs>
              <w:ind w:right="-2"/>
              <w:jc w:val="both"/>
              <w:rPr>
                <w:rFonts w:ascii="Arial" w:hAnsi="Arial" w:cs="Arial"/>
                <w:sz w:val="16"/>
                <w:szCs w:val="16"/>
              </w:rPr>
            </w:pPr>
          </w:p>
          <w:p w:rsidR="0091716B" w:rsidRPr="0091716B" w:rsidRDefault="009259F4" w:rsidP="0091716B">
            <w:pPr>
              <w:tabs>
                <w:tab w:val="left" w:pos="0"/>
                <w:tab w:val="left" w:pos="142"/>
                <w:tab w:val="left" w:pos="567"/>
                <w:tab w:val="left" w:pos="709"/>
              </w:tabs>
              <w:jc w:val="both"/>
              <w:rPr>
                <w:rFonts w:ascii="Arial" w:hAnsi="Arial" w:cs="Arial"/>
                <w:sz w:val="16"/>
                <w:szCs w:val="16"/>
              </w:rPr>
            </w:pPr>
            <w:r w:rsidRPr="009259F4">
              <w:rPr>
                <w:rFonts w:ascii="Arial" w:hAnsi="Arial" w:cs="Arial"/>
                <w:sz w:val="16"/>
                <w:szCs w:val="16"/>
              </w:rPr>
              <w:t>6.4.1 As entregas sem agendamento somente serão aceitas, excepcionalmente, desde que não prejudique os demais recebimentos agendados, a critério da Coordenadoria Administrativa Financeira – DAF/SEDUC</w:t>
            </w:r>
          </w:p>
          <w:p w:rsidR="0091716B" w:rsidRDefault="0091716B" w:rsidP="009259F4">
            <w:pPr>
              <w:tabs>
                <w:tab w:val="left" w:pos="0"/>
                <w:tab w:val="left" w:pos="142"/>
                <w:tab w:val="left" w:pos="567"/>
                <w:tab w:val="left" w:pos="709"/>
              </w:tabs>
              <w:jc w:val="both"/>
              <w:rPr>
                <w:rFonts w:ascii="Arial" w:hAnsi="Arial" w:cs="Arial"/>
                <w:sz w:val="16"/>
                <w:szCs w:val="16"/>
              </w:rPr>
            </w:pP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Além daquelas determinadas por leis, decretos, regulamentos e demais dispositivos legais, a CONTRATADA estará sujeita as sanções definidas neste Termo de Referência.</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12.10), sobre a parcela inadimplida do contrato.</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863264">
        <w:rPr>
          <w:rFonts w:ascii="Arial" w:hAnsi="Arial" w:cs="Arial"/>
          <w:sz w:val="16"/>
          <w:szCs w:val="16"/>
        </w:rPr>
        <w:t>descredenciado no Cadastro de Fornecedores Estadual</w:t>
      </w:r>
      <w:proofErr w:type="gramEnd"/>
      <w:r w:rsidRPr="00863264">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0"/>
          <w:numId w:val="9"/>
        </w:numPr>
        <w:suppressAutoHyphens/>
        <w:spacing w:line="100" w:lineRule="atLeast"/>
        <w:ind w:right="47"/>
        <w:jc w:val="both"/>
        <w:rPr>
          <w:rFonts w:ascii="Arial" w:hAnsi="Arial" w:cs="Arial"/>
          <w:sz w:val="16"/>
          <w:szCs w:val="16"/>
        </w:rPr>
      </w:pPr>
      <w:r w:rsidRPr="00863264">
        <w:rPr>
          <w:rFonts w:ascii="Arial" w:hAnsi="Arial" w:cs="Arial"/>
          <w:sz w:val="16"/>
          <w:szCs w:val="16"/>
        </w:rPr>
        <w:t>Inexecução total ou parcial do contrato;</w:t>
      </w:r>
    </w:p>
    <w:p w:rsidR="00863264" w:rsidRPr="00863264" w:rsidRDefault="00863264" w:rsidP="00863264">
      <w:pPr>
        <w:pStyle w:val="PargrafodaLista"/>
        <w:numPr>
          <w:ilvl w:val="0"/>
          <w:numId w:val="9"/>
        </w:numPr>
        <w:suppressAutoHyphens/>
        <w:spacing w:line="100" w:lineRule="atLeast"/>
        <w:ind w:right="47"/>
        <w:jc w:val="both"/>
        <w:rPr>
          <w:rFonts w:ascii="Arial" w:hAnsi="Arial" w:cs="Arial"/>
          <w:sz w:val="16"/>
          <w:szCs w:val="16"/>
        </w:rPr>
      </w:pPr>
      <w:r w:rsidRPr="00863264">
        <w:rPr>
          <w:rFonts w:ascii="Arial" w:hAnsi="Arial" w:cs="Arial"/>
          <w:sz w:val="16"/>
          <w:szCs w:val="16"/>
        </w:rPr>
        <w:t>Apresentação de documentação falsa;</w:t>
      </w:r>
    </w:p>
    <w:p w:rsidR="00863264" w:rsidRPr="00863264" w:rsidRDefault="00863264" w:rsidP="00863264">
      <w:pPr>
        <w:pStyle w:val="PargrafodaLista"/>
        <w:numPr>
          <w:ilvl w:val="0"/>
          <w:numId w:val="9"/>
        </w:numPr>
        <w:suppressAutoHyphens/>
        <w:spacing w:line="100" w:lineRule="atLeast"/>
        <w:ind w:right="47"/>
        <w:jc w:val="both"/>
        <w:rPr>
          <w:rFonts w:ascii="Arial" w:hAnsi="Arial" w:cs="Arial"/>
          <w:sz w:val="16"/>
          <w:szCs w:val="16"/>
        </w:rPr>
      </w:pPr>
      <w:r w:rsidRPr="00863264">
        <w:rPr>
          <w:rFonts w:ascii="Arial" w:hAnsi="Arial" w:cs="Arial"/>
          <w:sz w:val="16"/>
          <w:szCs w:val="16"/>
        </w:rPr>
        <w:t>Comportamento inidôneo;</w:t>
      </w:r>
    </w:p>
    <w:p w:rsidR="00863264" w:rsidRPr="00863264" w:rsidRDefault="00863264" w:rsidP="00863264">
      <w:pPr>
        <w:pStyle w:val="PargrafodaLista"/>
        <w:numPr>
          <w:ilvl w:val="0"/>
          <w:numId w:val="9"/>
        </w:numPr>
        <w:suppressAutoHyphens/>
        <w:spacing w:line="100" w:lineRule="atLeast"/>
        <w:ind w:right="47"/>
        <w:jc w:val="both"/>
        <w:rPr>
          <w:rFonts w:ascii="Arial" w:hAnsi="Arial" w:cs="Arial"/>
          <w:sz w:val="16"/>
          <w:szCs w:val="16"/>
        </w:rPr>
      </w:pPr>
      <w:r w:rsidRPr="00863264">
        <w:rPr>
          <w:rFonts w:ascii="Arial" w:hAnsi="Arial" w:cs="Arial"/>
          <w:sz w:val="16"/>
          <w:szCs w:val="16"/>
        </w:rPr>
        <w:t>Fraude fiscal;</w:t>
      </w:r>
    </w:p>
    <w:p w:rsidR="00863264" w:rsidRPr="00863264" w:rsidRDefault="00863264" w:rsidP="00863264">
      <w:pPr>
        <w:suppressAutoHyphens/>
        <w:spacing w:line="100" w:lineRule="atLeast"/>
        <w:ind w:right="47"/>
        <w:jc w:val="both"/>
        <w:rPr>
          <w:rFonts w:ascii="Arial" w:hAnsi="Arial" w:cs="Arial"/>
          <w:sz w:val="16"/>
          <w:szCs w:val="16"/>
        </w:rPr>
      </w:pPr>
      <w:r>
        <w:rPr>
          <w:rFonts w:ascii="Arial" w:hAnsi="Arial" w:cs="Arial"/>
          <w:sz w:val="16"/>
          <w:szCs w:val="16"/>
        </w:rPr>
        <w:t xml:space="preserve">        e) </w:t>
      </w:r>
      <w:r w:rsidRPr="00863264">
        <w:rPr>
          <w:rFonts w:ascii="Arial" w:hAnsi="Arial" w:cs="Arial"/>
          <w:sz w:val="16"/>
          <w:szCs w:val="16"/>
        </w:rPr>
        <w:t>Descumprimento de qualquer dos deveres elencados no Edital ou no Contrato.</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63264" w:rsidRPr="00863264" w:rsidRDefault="00863264" w:rsidP="00863264">
      <w:pPr>
        <w:suppressAutoHyphens/>
        <w:spacing w:line="100" w:lineRule="atLeast"/>
        <w:ind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63264" w:rsidRPr="00863264" w:rsidRDefault="00863264" w:rsidP="00863264">
      <w:pPr>
        <w:suppressAutoHyphens/>
        <w:spacing w:line="100" w:lineRule="atLeast"/>
        <w:ind w:right="47"/>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7"/>
        <w:gridCol w:w="7950"/>
        <w:gridCol w:w="754"/>
        <w:gridCol w:w="1828"/>
      </w:tblGrid>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Item</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Descrição da Infração</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Grau</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Multa*</w:t>
            </w:r>
          </w:p>
        </w:tc>
      </w:tr>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01</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 xml:space="preserve">Permitir situação que crie a possibilidade ou cause </w:t>
            </w:r>
            <w:proofErr w:type="gramStart"/>
            <w:r w:rsidRPr="00137FCC">
              <w:rPr>
                <w:rFonts w:ascii="Arial" w:hAnsi="Arial" w:cs="Arial"/>
                <w:sz w:val="16"/>
                <w:szCs w:val="16"/>
              </w:rPr>
              <w:t>danos físico</w:t>
            </w:r>
            <w:proofErr w:type="gramEnd"/>
            <w:r w:rsidRPr="00137FCC">
              <w:rPr>
                <w:rFonts w:ascii="Arial" w:hAnsi="Arial" w:cs="Arial"/>
                <w:sz w:val="16"/>
                <w:szCs w:val="16"/>
              </w:rPr>
              <w:t xml:space="preserve">, lesão corporal ou </w:t>
            </w:r>
            <w:proofErr w:type="spellStart"/>
            <w:r w:rsidRPr="00137FCC">
              <w:rPr>
                <w:rFonts w:ascii="Arial" w:hAnsi="Arial" w:cs="Arial"/>
                <w:sz w:val="16"/>
                <w:szCs w:val="16"/>
              </w:rPr>
              <w:t>consequências</w:t>
            </w:r>
            <w:proofErr w:type="spellEnd"/>
            <w:r w:rsidRPr="00137FCC">
              <w:rPr>
                <w:rFonts w:ascii="Arial" w:hAnsi="Arial" w:cs="Arial"/>
                <w:sz w:val="16"/>
                <w:szCs w:val="16"/>
              </w:rPr>
              <w:t xml:space="preserve"> letais;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06</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4,0% por dia</w:t>
            </w:r>
          </w:p>
        </w:tc>
      </w:tr>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02</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Suspender ou interromper, salvo por motivo de força maior ou caso fortuito, os fornecimentos dos materiais/bens adquiridos, por dia e por unidade de atendimento;</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05</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3,2% por dia</w:t>
            </w:r>
          </w:p>
        </w:tc>
      </w:tr>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03</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Recusar-se a executar as determinações feitas pela FISCALIZAÇÃO, sem motivo justificado;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04</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1,6% por dia</w:t>
            </w:r>
          </w:p>
        </w:tc>
      </w:tr>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04</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Destruir ou danificar documentos por culpa ou dolo de seus agentes;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05</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3,2% por dia</w:t>
            </w:r>
          </w:p>
        </w:tc>
      </w:tr>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05</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Executar a entrega incompleta, paliativo substitutivo como por caráter permanente, ou deixar de providenciar recomposição complementar;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02</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0,4% por dia</w:t>
            </w:r>
          </w:p>
        </w:tc>
      </w:tr>
      <w:tr w:rsidR="00863264" w:rsidRPr="00863264" w:rsidTr="00137FCC">
        <w:trPr>
          <w:trHeight w:val="373"/>
        </w:trPr>
        <w:tc>
          <w:tcPr>
            <w:tcW w:w="281" w:type="pct"/>
            <w:tcBorders>
              <w:bottom w:val="single" w:sz="4" w:space="0" w:color="auto"/>
            </w:tcBorders>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06</w:t>
            </w:r>
          </w:p>
        </w:tc>
        <w:tc>
          <w:tcPr>
            <w:tcW w:w="3562" w:type="pct"/>
            <w:tcBorders>
              <w:bottom w:val="single" w:sz="4" w:space="0" w:color="auto"/>
            </w:tcBorders>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Inexecução total do contrato;</w:t>
            </w:r>
          </w:p>
        </w:tc>
        <w:tc>
          <w:tcPr>
            <w:tcW w:w="338" w:type="pct"/>
            <w:tcBorders>
              <w:bottom w:val="single" w:sz="4" w:space="0" w:color="auto"/>
            </w:tcBorders>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10</w:t>
            </w:r>
          </w:p>
        </w:tc>
        <w:tc>
          <w:tcPr>
            <w:tcW w:w="819" w:type="pct"/>
            <w:tcBorders>
              <w:bottom w:val="single" w:sz="4" w:space="0" w:color="auto"/>
            </w:tcBorders>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10 %</w:t>
            </w:r>
          </w:p>
        </w:tc>
      </w:tr>
      <w:tr w:rsidR="00863264" w:rsidRPr="00863264" w:rsidTr="00137FCC">
        <w:trPr>
          <w:trHeight w:val="170"/>
        </w:trPr>
        <w:tc>
          <w:tcPr>
            <w:tcW w:w="281" w:type="pct"/>
            <w:tcBorders>
              <w:top w:val="single" w:sz="4" w:space="0" w:color="auto"/>
              <w:left w:val="single" w:sz="4" w:space="0" w:color="auto"/>
              <w:bottom w:val="single" w:sz="4" w:space="0" w:color="auto"/>
              <w:right w:val="nil"/>
            </w:tcBorders>
            <w:vAlign w:val="center"/>
          </w:tcPr>
          <w:p w:rsidR="00863264" w:rsidRPr="00137FCC" w:rsidRDefault="00863264" w:rsidP="00137FCC">
            <w:pPr>
              <w:suppressAutoHyphens/>
              <w:spacing w:line="100" w:lineRule="atLeast"/>
              <w:ind w:right="47"/>
              <w:jc w:val="both"/>
              <w:rPr>
                <w:rFonts w:ascii="Arial" w:hAnsi="Arial" w:cs="Arial"/>
                <w:sz w:val="16"/>
                <w:szCs w:val="16"/>
              </w:rPr>
            </w:pPr>
          </w:p>
        </w:tc>
        <w:tc>
          <w:tcPr>
            <w:tcW w:w="3562" w:type="pct"/>
            <w:tcBorders>
              <w:top w:val="single" w:sz="4" w:space="0" w:color="auto"/>
              <w:left w:val="nil"/>
              <w:bottom w:val="single" w:sz="4" w:space="0" w:color="auto"/>
              <w:right w:val="nil"/>
            </w:tcBorders>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Para os itens a seguir, deixar de:</w:t>
            </w:r>
          </w:p>
        </w:tc>
        <w:tc>
          <w:tcPr>
            <w:tcW w:w="338" w:type="pct"/>
            <w:tcBorders>
              <w:top w:val="single" w:sz="4" w:space="0" w:color="auto"/>
              <w:left w:val="nil"/>
              <w:bottom w:val="single" w:sz="4" w:space="0" w:color="auto"/>
              <w:right w:val="nil"/>
            </w:tcBorders>
            <w:vAlign w:val="center"/>
          </w:tcPr>
          <w:p w:rsidR="00863264" w:rsidRPr="00137FCC" w:rsidRDefault="00863264" w:rsidP="00137FCC">
            <w:pPr>
              <w:suppressAutoHyphens/>
              <w:spacing w:line="100" w:lineRule="atLeast"/>
              <w:ind w:right="47"/>
              <w:jc w:val="both"/>
              <w:rPr>
                <w:rFonts w:ascii="Arial" w:hAnsi="Arial" w:cs="Arial"/>
                <w:sz w:val="16"/>
                <w:szCs w:val="16"/>
              </w:rPr>
            </w:pPr>
          </w:p>
        </w:tc>
        <w:tc>
          <w:tcPr>
            <w:tcW w:w="819" w:type="pct"/>
            <w:tcBorders>
              <w:top w:val="single" w:sz="4" w:space="0" w:color="auto"/>
              <w:left w:val="nil"/>
              <w:bottom w:val="single" w:sz="4" w:space="0" w:color="auto"/>
              <w:right w:val="single" w:sz="4" w:space="0" w:color="auto"/>
            </w:tcBorders>
            <w:vAlign w:val="center"/>
          </w:tcPr>
          <w:p w:rsidR="00863264" w:rsidRPr="00137FCC" w:rsidRDefault="00863264" w:rsidP="00137FCC">
            <w:pPr>
              <w:suppressAutoHyphens/>
              <w:spacing w:line="100" w:lineRule="atLeast"/>
              <w:ind w:right="47"/>
              <w:jc w:val="both"/>
              <w:rPr>
                <w:rFonts w:ascii="Arial" w:hAnsi="Arial" w:cs="Arial"/>
                <w:sz w:val="16"/>
                <w:szCs w:val="16"/>
              </w:rPr>
            </w:pPr>
          </w:p>
        </w:tc>
      </w:tr>
      <w:tr w:rsidR="00863264" w:rsidRPr="00863264" w:rsidTr="00137FCC">
        <w:trPr>
          <w:trHeight w:val="170"/>
        </w:trPr>
        <w:tc>
          <w:tcPr>
            <w:tcW w:w="281" w:type="pct"/>
            <w:tcBorders>
              <w:top w:val="single" w:sz="4" w:space="0" w:color="auto"/>
            </w:tcBorders>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07</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03</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0,8% por dia</w:t>
            </w:r>
          </w:p>
        </w:tc>
      </w:tr>
      <w:tr w:rsidR="00863264" w:rsidRPr="00863264" w:rsidTr="00137FCC">
        <w:trPr>
          <w:trHeight w:val="170"/>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08</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Cumprir determinação formal ou instrução complementar da FISCALIZAÇÃO,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03</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0,8% por dia</w:t>
            </w:r>
          </w:p>
        </w:tc>
      </w:tr>
      <w:tr w:rsidR="00863264" w:rsidRPr="00863264" w:rsidTr="00137FCC">
        <w:trPr>
          <w:trHeight w:val="528"/>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09</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Iniciar a entrega nos prazos estabelecidos, observados os limites mínimos estabelecidos por este Contrato; por item,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02</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0,2% por dia</w:t>
            </w:r>
          </w:p>
        </w:tc>
      </w:tr>
      <w:tr w:rsidR="00863264" w:rsidRPr="00863264" w:rsidTr="00137FCC">
        <w:trPr>
          <w:trHeight w:val="564"/>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lastRenderedPageBreak/>
              <w:t>10</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Ressarcir o órgão por eventuais danos causados por sua culpa;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02</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0,4% por dia</w:t>
            </w:r>
          </w:p>
        </w:tc>
      </w:tr>
      <w:tr w:rsidR="00863264" w:rsidRPr="00863264" w:rsidTr="00137FCC">
        <w:trPr>
          <w:trHeight w:val="343"/>
        </w:trPr>
        <w:tc>
          <w:tcPr>
            <w:tcW w:w="281"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11</w:t>
            </w:r>
          </w:p>
        </w:tc>
        <w:tc>
          <w:tcPr>
            <w:tcW w:w="3562"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Manter a documentação de habilitação atualizada; por item, por ocorrência.</w:t>
            </w:r>
          </w:p>
        </w:tc>
        <w:tc>
          <w:tcPr>
            <w:tcW w:w="338"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01</w:t>
            </w:r>
          </w:p>
        </w:tc>
        <w:tc>
          <w:tcPr>
            <w:tcW w:w="819" w:type="pct"/>
            <w:vAlign w:val="center"/>
          </w:tcPr>
          <w:p w:rsidR="00863264" w:rsidRPr="00137FCC" w:rsidRDefault="00863264" w:rsidP="00137FCC">
            <w:pPr>
              <w:suppressAutoHyphens/>
              <w:spacing w:line="100" w:lineRule="atLeast"/>
              <w:ind w:right="47"/>
              <w:jc w:val="both"/>
              <w:rPr>
                <w:rFonts w:ascii="Arial" w:hAnsi="Arial" w:cs="Arial"/>
                <w:sz w:val="16"/>
                <w:szCs w:val="16"/>
              </w:rPr>
            </w:pPr>
            <w:r w:rsidRPr="00137FCC">
              <w:rPr>
                <w:rFonts w:ascii="Arial" w:hAnsi="Arial" w:cs="Arial"/>
                <w:sz w:val="16"/>
                <w:szCs w:val="16"/>
              </w:rPr>
              <w:t>0,2% por dia</w:t>
            </w:r>
          </w:p>
        </w:tc>
      </w:tr>
    </w:tbl>
    <w:p w:rsidR="00863264" w:rsidRPr="00137FCC" w:rsidRDefault="00863264" w:rsidP="00137FCC">
      <w:pPr>
        <w:suppressAutoHyphens/>
        <w:spacing w:line="100" w:lineRule="atLeast"/>
        <w:ind w:left="142" w:right="47"/>
        <w:jc w:val="both"/>
        <w:rPr>
          <w:rFonts w:ascii="Arial" w:hAnsi="Arial" w:cs="Arial"/>
          <w:sz w:val="16"/>
          <w:szCs w:val="16"/>
        </w:rPr>
      </w:pPr>
      <w:r w:rsidRPr="00137FCC">
        <w:rPr>
          <w:rFonts w:ascii="Arial" w:hAnsi="Arial" w:cs="Arial"/>
          <w:sz w:val="16"/>
          <w:szCs w:val="16"/>
        </w:rPr>
        <w:t>* Incidente sobre o valor mensal do contrato.</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As sanções aqui previstas poderão ser aplicadas concomitantemente, facultada a defesa prévia do interessado, no respectivo processo, no prazo de 05 (cinco) dias úteis.</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Após 30 (trinta) dias da falta de execução do objeto, será considerada inexecução total do contrato, o que ensejará a rescisão contratual.</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As sanções de natureza pecuniária serão diretamente descontadas de créditos que eventualmente detenha a CONTRATADA ou efetuada a sua cobrança na forma prevista em lei.</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 sanção será obrigatoriamente registrada no Sistema de Cadastramento Unificado de Fornecedores - SICAF, bem como em sistemas Estaduais.</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137FCC" w:rsidRDefault="00863264" w:rsidP="00137FCC">
      <w:pPr>
        <w:pStyle w:val="PargrafodaLista"/>
        <w:numPr>
          <w:ilvl w:val="0"/>
          <w:numId w:val="10"/>
        </w:numPr>
        <w:suppressAutoHyphens/>
        <w:spacing w:line="100" w:lineRule="atLeast"/>
        <w:ind w:right="47"/>
        <w:jc w:val="both"/>
        <w:rPr>
          <w:rFonts w:ascii="Arial" w:hAnsi="Arial" w:cs="Arial"/>
          <w:sz w:val="16"/>
          <w:szCs w:val="16"/>
        </w:rPr>
      </w:pPr>
      <w:r w:rsidRPr="00137FCC">
        <w:rPr>
          <w:rFonts w:ascii="Arial" w:hAnsi="Arial" w:cs="Arial"/>
          <w:sz w:val="16"/>
          <w:szCs w:val="16"/>
        </w:rPr>
        <w:t>Tenham sofrido condenações definitivas por praticarem, por meio dolosos, fraude fiscal no recolhimento de tributos;</w:t>
      </w:r>
    </w:p>
    <w:p w:rsidR="00863264" w:rsidRPr="00137FCC" w:rsidRDefault="00137FCC" w:rsidP="00137FCC">
      <w:pPr>
        <w:suppressAutoHyphens/>
        <w:spacing w:line="100" w:lineRule="atLeast"/>
        <w:ind w:left="142" w:right="47"/>
        <w:jc w:val="both"/>
        <w:rPr>
          <w:rFonts w:ascii="Arial" w:hAnsi="Arial" w:cs="Arial"/>
          <w:sz w:val="16"/>
          <w:szCs w:val="16"/>
        </w:rPr>
      </w:pPr>
      <w:r>
        <w:rPr>
          <w:rFonts w:ascii="Arial" w:hAnsi="Arial" w:cs="Arial"/>
          <w:sz w:val="16"/>
          <w:szCs w:val="16"/>
        </w:rPr>
        <w:t xml:space="preserve">b)     </w:t>
      </w:r>
      <w:r w:rsidR="00863264" w:rsidRPr="00137FCC">
        <w:rPr>
          <w:rFonts w:ascii="Arial" w:hAnsi="Arial" w:cs="Arial"/>
          <w:sz w:val="16"/>
          <w:szCs w:val="16"/>
        </w:rPr>
        <w:t>Tenham praticado atos ilícitos visando a frustrar os objetivos da licitação;</w:t>
      </w:r>
    </w:p>
    <w:p w:rsidR="00863264" w:rsidRPr="00137FCC" w:rsidRDefault="00137FCC" w:rsidP="00137FCC">
      <w:pPr>
        <w:suppressAutoHyphens/>
        <w:spacing w:line="100" w:lineRule="atLeast"/>
        <w:ind w:left="142" w:right="47"/>
        <w:jc w:val="both"/>
        <w:rPr>
          <w:rFonts w:ascii="Arial" w:hAnsi="Arial" w:cs="Arial"/>
          <w:sz w:val="16"/>
          <w:szCs w:val="16"/>
        </w:rPr>
      </w:pPr>
      <w:r>
        <w:rPr>
          <w:rFonts w:ascii="Arial" w:hAnsi="Arial" w:cs="Arial"/>
          <w:sz w:val="16"/>
          <w:szCs w:val="16"/>
        </w:rPr>
        <w:t xml:space="preserve">c)     </w:t>
      </w:r>
      <w:r w:rsidR="00863264" w:rsidRPr="00137FCC">
        <w:rPr>
          <w:rFonts w:ascii="Arial" w:hAnsi="Arial" w:cs="Arial"/>
          <w:sz w:val="16"/>
          <w:szCs w:val="16"/>
        </w:rPr>
        <w:t>Demonstrem não possuir idoneidade para contratar com a Administração em virtude de atos ilícitos praticados.</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63264" w:rsidRPr="00137FCC" w:rsidRDefault="00863264" w:rsidP="00137FCC">
      <w:pPr>
        <w:suppressAutoHyphens/>
        <w:spacing w:line="100" w:lineRule="atLeast"/>
        <w:ind w:left="142" w:right="47"/>
        <w:jc w:val="both"/>
        <w:rPr>
          <w:rFonts w:ascii="Arial" w:hAnsi="Arial" w:cs="Arial"/>
          <w:sz w:val="16"/>
          <w:szCs w:val="16"/>
        </w:rPr>
      </w:pPr>
    </w:p>
    <w:p w:rsidR="00863264" w:rsidRPr="00863264" w:rsidRDefault="00863264" w:rsidP="00863264">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63264" w:rsidRPr="00137FCC" w:rsidRDefault="00863264" w:rsidP="00137FCC">
      <w:pPr>
        <w:suppressAutoHyphens/>
        <w:spacing w:line="100" w:lineRule="atLeast"/>
        <w:ind w:left="142" w:right="47"/>
        <w:jc w:val="both"/>
        <w:rPr>
          <w:rFonts w:ascii="Arial" w:hAnsi="Arial" w:cs="Arial"/>
          <w:sz w:val="16"/>
          <w:szCs w:val="16"/>
        </w:rPr>
      </w:pPr>
    </w:p>
    <w:p w:rsidR="00137FCC" w:rsidRPr="00137FCC" w:rsidRDefault="00863264" w:rsidP="00137FCC">
      <w:pPr>
        <w:pStyle w:val="PargrafodaLista"/>
        <w:numPr>
          <w:ilvl w:val="1"/>
          <w:numId w:val="8"/>
        </w:numPr>
        <w:suppressAutoHyphens/>
        <w:spacing w:line="100" w:lineRule="atLeast"/>
        <w:ind w:right="47"/>
        <w:jc w:val="both"/>
        <w:rPr>
          <w:rFonts w:ascii="Arial" w:hAnsi="Arial" w:cs="Arial"/>
          <w:sz w:val="16"/>
          <w:szCs w:val="16"/>
        </w:rPr>
      </w:pPr>
      <w:r w:rsidRPr="00863264">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863264">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863264">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863264">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863264">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863264">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863264">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r w:rsidR="006401E6">
        <w:rPr>
          <w:rFonts w:ascii="Arial" w:hAnsi="Arial" w:cs="Arial"/>
          <w:sz w:val="16"/>
          <w:szCs w:val="16"/>
        </w:rPr>
        <w:t>.</w:t>
      </w:r>
    </w:p>
    <w:p w:rsidR="004C43D9" w:rsidRPr="00137FCC" w:rsidRDefault="009D2314" w:rsidP="00137FCC">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5269EC"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gramStart"/>
      <w:r w:rsidR="00CC63C7" w:rsidRPr="009A54D1">
        <w:rPr>
          <w:rFonts w:ascii="Arial" w:hAnsi="Arial" w:cs="Arial"/>
          <w:sz w:val="16"/>
          <w:szCs w:val="16"/>
        </w:rPr>
        <w:t>sob-hipótese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C80482">
        <w:rPr>
          <w:rFonts w:ascii="Arial" w:hAnsi="Arial" w:cs="Arial"/>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86326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6401E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F17" w:rsidRDefault="00DB0F17">
      <w:r>
        <w:separator/>
      </w:r>
    </w:p>
  </w:endnote>
  <w:endnote w:type="continuationSeparator" w:id="1">
    <w:p w:rsidR="00DB0F17" w:rsidRDefault="00DB0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F17" w:rsidRDefault="00DB0F17">
      <w:r>
        <w:separator/>
      </w:r>
    </w:p>
  </w:footnote>
  <w:footnote w:type="continuationSeparator" w:id="1">
    <w:p w:rsidR="00DB0F17" w:rsidRDefault="00DB0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F17" w:rsidRDefault="00DB0F1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4"/>
  </w:num>
  <w:num w:numId="5">
    <w:abstractNumId w:val="7"/>
  </w:num>
  <w:num w:numId="6">
    <w:abstractNumId w:val="1"/>
  </w:num>
  <w:num w:numId="7">
    <w:abstractNumId w:val="11"/>
  </w:num>
  <w:num w:numId="8">
    <w:abstractNumId w:val="9"/>
  </w:num>
  <w:num w:numId="9">
    <w:abstractNumId w:val="12"/>
  </w:num>
  <w:num w:numId="1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3187</Words>
  <Characters>17890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2017-09-01T14:04:00Z</cp:lastPrinted>
  <dcterms:created xsi:type="dcterms:W3CDTF">2017-09-01T12:56:00Z</dcterms:created>
  <dcterms:modified xsi:type="dcterms:W3CDTF">2017-09-01T14:40:00Z</dcterms:modified>
</cp:coreProperties>
</file>