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B2A" w:rsidRDefault="009B5B2A" w:rsidP="009B5B2A">
      <w:pPr>
        <w:pStyle w:val="Ttulo2"/>
        <w:rPr>
          <w:bCs/>
          <w:sz w:val="24"/>
          <w:szCs w:val="24"/>
          <w:u w:val="single"/>
        </w:rPr>
      </w:pPr>
      <w:r w:rsidRPr="009B5B2A">
        <w:rPr>
          <w:bCs/>
          <w:sz w:val="24"/>
          <w:szCs w:val="24"/>
          <w:u w:val="single"/>
        </w:rPr>
        <w:t>NOTA DE ESCLARECIMENTO</w:t>
      </w:r>
    </w:p>
    <w:p w:rsidR="009B5B2A" w:rsidRPr="009B5B2A" w:rsidRDefault="009B5B2A" w:rsidP="009B5B2A"/>
    <w:p w:rsidR="009B5B2A" w:rsidRDefault="009B5B2A" w:rsidP="009B5B2A">
      <w:pPr>
        <w:pStyle w:val="Ttulo2"/>
        <w:rPr>
          <w:bCs/>
          <w:sz w:val="24"/>
          <w:szCs w:val="24"/>
          <w:u w:val="single"/>
        </w:rPr>
      </w:pPr>
      <w:r w:rsidRPr="009B5B2A">
        <w:rPr>
          <w:bCs/>
          <w:sz w:val="24"/>
          <w:szCs w:val="24"/>
          <w:u w:val="single"/>
        </w:rPr>
        <w:t xml:space="preserve">PREGÃO ELETRÔNICO – </w:t>
      </w:r>
      <w:r w:rsidRPr="00DB471E">
        <w:rPr>
          <w:bCs/>
          <w:color w:val="FF0000"/>
          <w:sz w:val="24"/>
          <w:szCs w:val="24"/>
          <w:u w:val="single"/>
        </w:rPr>
        <w:t>N°.</w:t>
      </w:r>
      <w:r w:rsidRPr="009B5B2A">
        <w:rPr>
          <w:bCs/>
          <w:sz w:val="24"/>
          <w:szCs w:val="24"/>
          <w:u w:val="single"/>
        </w:rPr>
        <w:t xml:space="preserve"> </w:t>
      </w:r>
      <w:r w:rsidR="00DD7A23">
        <w:rPr>
          <w:bCs/>
          <w:color w:val="FF0000"/>
          <w:sz w:val="24"/>
          <w:szCs w:val="24"/>
          <w:u w:val="single"/>
        </w:rPr>
        <w:t>510</w:t>
      </w:r>
      <w:r w:rsidRPr="008C6F43">
        <w:rPr>
          <w:bCs/>
          <w:color w:val="FF0000"/>
          <w:sz w:val="24"/>
          <w:szCs w:val="24"/>
          <w:u w:val="single"/>
        </w:rPr>
        <w:t>/2016/GAMA/SUPEL/RO</w:t>
      </w:r>
    </w:p>
    <w:p w:rsidR="00831B29" w:rsidRPr="00831B29" w:rsidRDefault="00831B29" w:rsidP="00831B29"/>
    <w:p w:rsidR="008C6F43" w:rsidRDefault="008C6F43" w:rsidP="008C6F43">
      <w:pPr>
        <w:pStyle w:val="Ttulo"/>
        <w:rPr>
          <w:rFonts w:ascii="Times New Roman" w:hAnsi="Times New Roman"/>
          <w:bCs/>
          <w:color w:val="000000"/>
          <w:sz w:val="22"/>
          <w:szCs w:val="22"/>
          <w:u w:val="single"/>
        </w:rPr>
      </w:pPr>
    </w:p>
    <w:p w:rsidR="00DD7A23" w:rsidRPr="00F307F8" w:rsidRDefault="00C9647A" w:rsidP="00DD7A23">
      <w:pPr>
        <w:autoSpaceDE w:val="0"/>
        <w:autoSpaceDN w:val="0"/>
        <w:adjustRightInd w:val="0"/>
        <w:ind w:left="-284" w:right="-852"/>
        <w:jc w:val="both"/>
        <w:rPr>
          <w:bCs/>
          <w:color w:val="FF0000"/>
          <w:sz w:val="24"/>
          <w:szCs w:val="24"/>
          <w:lang w:eastAsia="zh-CN"/>
        </w:rPr>
      </w:pPr>
      <w:r w:rsidRPr="00F307F8">
        <w:rPr>
          <w:sz w:val="24"/>
          <w:szCs w:val="24"/>
          <w:lang w:eastAsia="zh-CN"/>
        </w:rPr>
        <w:t xml:space="preserve">A Superintendência Estadual de Compras e Licitações </w:t>
      </w:r>
      <w:r w:rsidR="008C6F43" w:rsidRPr="00F307F8">
        <w:rPr>
          <w:sz w:val="24"/>
          <w:szCs w:val="24"/>
          <w:lang w:eastAsia="zh-CN"/>
        </w:rPr>
        <w:t xml:space="preserve">através de seu Pregoeiro Rogério Pereira Santana, e a equipe de apoio, designados por força das disposições contidas na </w:t>
      </w:r>
      <w:r w:rsidR="008C6F43" w:rsidRPr="00F307F8">
        <w:rPr>
          <w:b/>
          <w:sz w:val="24"/>
          <w:szCs w:val="24"/>
          <w:lang w:eastAsia="zh-CN"/>
        </w:rPr>
        <w:t>Portaria</w:t>
      </w:r>
      <w:r w:rsidR="008C6F43" w:rsidRPr="00F307F8">
        <w:rPr>
          <w:sz w:val="24"/>
          <w:szCs w:val="24"/>
          <w:lang w:eastAsia="zh-CN"/>
        </w:rPr>
        <w:t xml:space="preserve"> </w:t>
      </w:r>
      <w:r w:rsidR="008C6F43" w:rsidRPr="00F307F8">
        <w:rPr>
          <w:b/>
          <w:sz w:val="24"/>
          <w:szCs w:val="24"/>
          <w:lang w:eastAsia="zh-CN"/>
        </w:rPr>
        <w:t>N.º</w:t>
      </w:r>
      <w:r w:rsidR="008C6F43" w:rsidRPr="00F307F8">
        <w:rPr>
          <w:sz w:val="24"/>
          <w:szCs w:val="24"/>
          <w:lang w:eastAsia="zh-CN"/>
        </w:rPr>
        <w:t xml:space="preserve"> </w:t>
      </w:r>
      <w:r w:rsidR="008C6F43" w:rsidRPr="00F307F8">
        <w:rPr>
          <w:color w:val="FF0000"/>
          <w:sz w:val="24"/>
          <w:szCs w:val="24"/>
          <w:lang w:eastAsia="zh-CN"/>
        </w:rPr>
        <w:t>053/GAB/SUPEL, de 30/12/2016, publicado no DOE do dia 03 de Janeiro de 201</w:t>
      </w:r>
      <w:r w:rsidRPr="00F307F8">
        <w:rPr>
          <w:color w:val="FF0000"/>
          <w:sz w:val="24"/>
          <w:szCs w:val="24"/>
          <w:lang w:eastAsia="zh-CN"/>
        </w:rPr>
        <w:t>7</w:t>
      </w:r>
      <w:r w:rsidR="008C6F43" w:rsidRPr="00F307F8">
        <w:rPr>
          <w:sz w:val="24"/>
          <w:szCs w:val="24"/>
          <w:lang w:eastAsia="zh-CN"/>
        </w:rPr>
        <w:t xml:space="preserve">, torna público aos interessados, referente ao Processo Administrativo </w:t>
      </w:r>
      <w:r w:rsidR="008C6F43" w:rsidRPr="00F307F8">
        <w:rPr>
          <w:b/>
          <w:sz w:val="24"/>
          <w:szCs w:val="24"/>
          <w:lang w:eastAsia="zh-CN"/>
        </w:rPr>
        <w:t>Nº</w:t>
      </w:r>
      <w:r w:rsidR="008C6F43" w:rsidRPr="00F307F8">
        <w:rPr>
          <w:sz w:val="24"/>
          <w:szCs w:val="24"/>
          <w:lang w:eastAsia="zh-CN"/>
        </w:rPr>
        <w:t xml:space="preserve">. </w:t>
      </w:r>
      <w:r w:rsidR="00DD7A23" w:rsidRPr="00F307F8">
        <w:rPr>
          <w:bCs/>
          <w:color w:val="FF0000"/>
          <w:sz w:val="24"/>
          <w:szCs w:val="24"/>
          <w:lang w:eastAsia="zh-CN"/>
        </w:rPr>
        <w:t>01.1901.00743-00/2016/SEAGRI/RO</w:t>
      </w:r>
      <w:r w:rsidR="008C6F43" w:rsidRPr="00F307F8">
        <w:rPr>
          <w:sz w:val="24"/>
          <w:szCs w:val="24"/>
          <w:lang w:eastAsia="zh-CN"/>
        </w:rPr>
        <w:t xml:space="preserve"> na modalidade PREGÃO, na forma ELETRÔNICA, sob o </w:t>
      </w:r>
      <w:r w:rsidR="008C6F43" w:rsidRPr="00F307F8">
        <w:rPr>
          <w:b/>
          <w:sz w:val="24"/>
          <w:szCs w:val="24"/>
          <w:lang w:eastAsia="zh-CN"/>
        </w:rPr>
        <w:t>Nº</w:t>
      </w:r>
      <w:r w:rsidR="008C6F43" w:rsidRPr="00F307F8">
        <w:rPr>
          <w:sz w:val="24"/>
          <w:szCs w:val="24"/>
          <w:lang w:eastAsia="zh-CN"/>
        </w:rPr>
        <w:t xml:space="preserve">. </w:t>
      </w:r>
      <w:r w:rsidR="00DD7A23" w:rsidRPr="00F307F8">
        <w:rPr>
          <w:color w:val="FF0000"/>
          <w:sz w:val="24"/>
          <w:szCs w:val="24"/>
          <w:lang w:eastAsia="zh-CN"/>
        </w:rPr>
        <w:t>510</w:t>
      </w:r>
      <w:r w:rsidR="008C6F43" w:rsidRPr="00F307F8">
        <w:rPr>
          <w:color w:val="FF0000"/>
          <w:sz w:val="24"/>
          <w:szCs w:val="24"/>
          <w:lang w:eastAsia="zh-CN"/>
        </w:rPr>
        <w:t>/2016/GAMA/SUPEL/RO</w:t>
      </w:r>
      <w:r w:rsidR="008C6F43" w:rsidRPr="00F307F8">
        <w:rPr>
          <w:sz w:val="24"/>
          <w:szCs w:val="24"/>
          <w:lang w:eastAsia="zh-CN"/>
        </w:rPr>
        <w:t xml:space="preserve">, do tipo </w:t>
      </w:r>
      <w:r w:rsidR="008C6F43" w:rsidRPr="00F307F8">
        <w:rPr>
          <w:color w:val="FF0000"/>
          <w:sz w:val="24"/>
          <w:szCs w:val="24"/>
          <w:lang w:eastAsia="zh-CN"/>
        </w:rPr>
        <w:t xml:space="preserve">MENOR PREÇO </w:t>
      </w:r>
      <w:r w:rsidR="00DD7A23" w:rsidRPr="00F307F8">
        <w:rPr>
          <w:color w:val="FF0000"/>
          <w:sz w:val="24"/>
          <w:szCs w:val="24"/>
          <w:lang w:eastAsia="zh-CN"/>
        </w:rPr>
        <w:t>POR ITEM</w:t>
      </w:r>
      <w:r w:rsidRPr="00F307F8">
        <w:rPr>
          <w:color w:val="FF0000"/>
          <w:sz w:val="24"/>
          <w:szCs w:val="24"/>
          <w:lang w:eastAsia="zh-CN"/>
        </w:rPr>
        <w:t xml:space="preserve">, </w:t>
      </w:r>
      <w:r w:rsidR="008C6F43" w:rsidRPr="00F307F8">
        <w:rPr>
          <w:sz w:val="24"/>
          <w:szCs w:val="24"/>
          <w:lang w:eastAsia="zh-CN"/>
        </w:rPr>
        <w:t>cujo objeto é</w:t>
      </w:r>
      <w:r w:rsidRPr="00F307F8">
        <w:rPr>
          <w:color w:val="FF0000"/>
          <w:sz w:val="24"/>
          <w:szCs w:val="24"/>
          <w:lang w:eastAsia="zh-CN"/>
        </w:rPr>
        <w:t xml:space="preserve"> </w:t>
      </w:r>
      <w:r w:rsidR="00DD7A23" w:rsidRPr="00F307F8">
        <w:rPr>
          <w:color w:val="FF0000"/>
          <w:sz w:val="24"/>
          <w:szCs w:val="24"/>
          <w:lang w:eastAsia="zh-CN"/>
        </w:rPr>
        <w:t>Registro de Preço para Futura e Eventual Aquisição de Equipamentos para Agroindústria – Trator e Tanque de Leite, visando atender a Secretaria de Estado da Agricultura – SEAGRI/RO.</w:t>
      </w:r>
      <w:r w:rsidR="00DD7A23" w:rsidRPr="00F307F8">
        <w:rPr>
          <w:bCs/>
          <w:color w:val="FF0000"/>
          <w:sz w:val="24"/>
          <w:szCs w:val="24"/>
          <w:lang w:eastAsia="zh-CN"/>
        </w:rPr>
        <w:t xml:space="preserve"> </w:t>
      </w:r>
    </w:p>
    <w:p w:rsidR="00831B29" w:rsidRPr="00F307F8" w:rsidRDefault="00831B29" w:rsidP="00463B3A">
      <w:pPr>
        <w:autoSpaceDE w:val="0"/>
        <w:autoSpaceDN w:val="0"/>
        <w:adjustRightInd w:val="0"/>
        <w:ind w:left="-284" w:right="-852"/>
        <w:jc w:val="both"/>
        <w:rPr>
          <w:sz w:val="24"/>
          <w:szCs w:val="24"/>
          <w:lang w:eastAsia="zh-CN"/>
        </w:rPr>
      </w:pPr>
    </w:p>
    <w:p w:rsidR="00C9647A" w:rsidRPr="00F307F8" w:rsidRDefault="00831B29" w:rsidP="00463B3A">
      <w:pPr>
        <w:ind w:left="-284" w:right="-852"/>
        <w:jc w:val="both"/>
        <w:rPr>
          <w:sz w:val="24"/>
          <w:szCs w:val="24"/>
          <w:lang w:eastAsia="zh-CN"/>
        </w:rPr>
      </w:pPr>
      <w:r w:rsidRPr="00F307F8">
        <w:rPr>
          <w:sz w:val="24"/>
          <w:szCs w:val="24"/>
          <w:lang w:eastAsia="zh-CN"/>
        </w:rPr>
        <w:t xml:space="preserve">􀀀No Aviso de Licitação publicado </w:t>
      </w:r>
      <w:r w:rsidR="00F20746" w:rsidRPr="00F307F8">
        <w:rPr>
          <w:sz w:val="24"/>
          <w:szCs w:val="24"/>
          <w:lang w:eastAsia="zh-CN"/>
        </w:rPr>
        <w:t xml:space="preserve">endereço eletrônico: </w:t>
      </w:r>
      <w:hyperlink r:id="rId7" w:history="1">
        <w:r w:rsidR="00F20746" w:rsidRPr="00F307F8">
          <w:rPr>
            <w:color w:val="FF0000"/>
            <w:sz w:val="24"/>
            <w:szCs w:val="24"/>
            <w:lang w:eastAsia="zh-CN"/>
          </w:rPr>
          <w:t>www.comprasnet.gov.br</w:t>
        </w:r>
      </w:hyperlink>
      <w:r w:rsidR="00DD7A23" w:rsidRPr="00F307F8">
        <w:rPr>
          <w:sz w:val="24"/>
          <w:szCs w:val="24"/>
          <w:lang w:eastAsia="zh-CN"/>
        </w:rPr>
        <w:t xml:space="preserve"> do dia 09</w:t>
      </w:r>
      <w:r w:rsidR="00F20746" w:rsidRPr="00F307F8">
        <w:rPr>
          <w:sz w:val="24"/>
          <w:szCs w:val="24"/>
          <w:lang w:eastAsia="zh-CN"/>
        </w:rPr>
        <w:t xml:space="preserve"> de </w:t>
      </w:r>
      <w:r w:rsidR="00DD7A23" w:rsidRPr="00F307F8">
        <w:rPr>
          <w:sz w:val="24"/>
          <w:szCs w:val="24"/>
          <w:lang w:eastAsia="zh-CN"/>
        </w:rPr>
        <w:t>agosto</w:t>
      </w:r>
      <w:r w:rsidR="00F20746" w:rsidRPr="00F307F8">
        <w:rPr>
          <w:sz w:val="24"/>
          <w:szCs w:val="24"/>
          <w:lang w:eastAsia="zh-CN"/>
        </w:rPr>
        <w:t xml:space="preserve"> de 2017 </w:t>
      </w:r>
      <w:r w:rsidR="00C9647A" w:rsidRPr="00F307F8">
        <w:rPr>
          <w:sz w:val="24"/>
          <w:szCs w:val="24"/>
          <w:lang w:eastAsia="zh-CN"/>
        </w:rPr>
        <w:t>esclarece que:</w:t>
      </w:r>
    </w:p>
    <w:p w:rsidR="00C9647A" w:rsidRPr="00F307F8" w:rsidRDefault="00C9647A" w:rsidP="00463B3A">
      <w:pPr>
        <w:ind w:left="-284" w:right="-852"/>
        <w:jc w:val="both"/>
        <w:rPr>
          <w:sz w:val="24"/>
          <w:szCs w:val="24"/>
          <w:lang w:eastAsia="zh-CN"/>
        </w:rPr>
      </w:pPr>
    </w:p>
    <w:p w:rsidR="00B41AED" w:rsidRPr="00F307F8" w:rsidRDefault="00B41AED" w:rsidP="00463B3A">
      <w:pPr>
        <w:ind w:left="-284" w:right="-852"/>
        <w:jc w:val="both"/>
        <w:rPr>
          <w:sz w:val="24"/>
          <w:szCs w:val="24"/>
          <w:lang w:eastAsia="zh-CN"/>
        </w:rPr>
      </w:pPr>
      <w:r w:rsidRPr="00F307F8">
        <w:rPr>
          <w:sz w:val="24"/>
          <w:szCs w:val="24"/>
          <w:lang w:eastAsia="zh-CN"/>
        </w:rPr>
        <w:t>No sistema comprasnet e no edital o valor está correto, somente no Adendo Modificador o valor está equivocado.</w:t>
      </w:r>
    </w:p>
    <w:p w:rsidR="00B41AED" w:rsidRPr="00F307F8" w:rsidRDefault="00B41AED" w:rsidP="00463B3A">
      <w:pPr>
        <w:ind w:left="-284" w:right="-852"/>
        <w:jc w:val="both"/>
        <w:rPr>
          <w:sz w:val="24"/>
          <w:szCs w:val="24"/>
          <w:lang w:eastAsia="zh-CN"/>
        </w:rPr>
      </w:pPr>
    </w:p>
    <w:p w:rsidR="00DD7A23" w:rsidRPr="00F307F8" w:rsidRDefault="00B41AED" w:rsidP="00DD7A23">
      <w:pPr>
        <w:pStyle w:val="Ttulo"/>
        <w:ind w:left="-284" w:right="-852"/>
        <w:jc w:val="left"/>
        <w:rPr>
          <w:szCs w:val="24"/>
          <w:u w:val="single"/>
        </w:rPr>
      </w:pPr>
      <w:r w:rsidRPr="00F307F8">
        <w:rPr>
          <w:rFonts w:ascii="Times New Roman" w:hAnsi="Times New Roman"/>
          <w:szCs w:val="24"/>
        </w:rPr>
        <w:t>ONDE SE LÊ</w:t>
      </w:r>
      <w:r w:rsidR="00C9647A" w:rsidRPr="00F307F8">
        <w:rPr>
          <w:rFonts w:ascii="Times New Roman" w:hAnsi="Times New Roman"/>
          <w:szCs w:val="24"/>
        </w:rPr>
        <w:t xml:space="preserve">: </w:t>
      </w:r>
      <w:r w:rsidRPr="00F307F8">
        <w:rPr>
          <w:rFonts w:ascii="Times New Roman" w:hAnsi="Times New Roman"/>
          <w:bCs/>
          <w:color w:val="FF0000"/>
          <w:szCs w:val="24"/>
        </w:rPr>
        <w:t xml:space="preserve">DO QUADRO ESTIMATIVO DE PREÇO - </w:t>
      </w:r>
      <w:r w:rsidR="00DD7A23" w:rsidRPr="00F307F8">
        <w:rPr>
          <w:rFonts w:ascii="Times New Roman" w:hAnsi="Times New Roman"/>
          <w:bCs/>
          <w:color w:val="FF0000"/>
          <w:szCs w:val="24"/>
        </w:rPr>
        <w:t xml:space="preserve"> ANEXO II DO EDITAL</w:t>
      </w:r>
      <w:r w:rsidRPr="00F307F8">
        <w:rPr>
          <w:szCs w:val="24"/>
          <w:u w:val="single"/>
        </w:rPr>
        <w:t xml:space="preserve"> </w:t>
      </w:r>
    </w:p>
    <w:p w:rsidR="00463B3A" w:rsidRPr="00F307F8" w:rsidRDefault="00463B3A" w:rsidP="00463B3A">
      <w:pPr>
        <w:pStyle w:val="Ttulo"/>
        <w:ind w:left="-284" w:right="-852"/>
        <w:jc w:val="left"/>
        <w:rPr>
          <w:rFonts w:ascii="Times New Roman" w:hAnsi="Times New Roman"/>
          <w:bCs/>
          <w:color w:val="FF0000"/>
          <w:szCs w:val="24"/>
        </w:rPr>
      </w:pPr>
    </w:p>
    <w:tbl>
      <w:tblPr>
        <w:tblW w:w="9923" w:type="dxa"/>
        <w:tblInd w:w="-214" w:type="dxa"/>
        <w:tblCellMar>
          <w:left w:w="70" w:type="dxa"/>
          <w:right w:w="70" w:type="dxa"/>
        </w:tblCellMar>
        <w:tblLook w:val="04A0"/>
      </w:tblPr>
      <w:tblGrid>
        <w:gridCol w:w="710"/>
        <w:gridCol w:w="5244"/>
        <w:gridCol w:w="709"/>
        <w:gridCol w:w="851"/>
        <w:gridCol w:w="1134"/>
        <w:gridCol w:w="1275"/>
      </w:tblGrid>
      <w:tr w:rsidR="00DD7A23" w:rsidRPr="00F307F8" w:rsidTr="00DD7A23">
        <w:trPr>
          <w:trHeight w:val="671"/>
        </w:trPr>
        <w:tc>
          <w:tcPr>
            <w:tcW w:w="710" w:type="dxa"/>
            <w:tcBorders>
              <w:top w:val="single" w:sz="4" w:space="0" w:color="auto"/>
              <w:left w:val="single" w:sz="4" w:space="0" w:color="auto"/>
              <w:bottom w:val="single" w:sz="4" w:space="0" w:color="auto"/>
              <w:right w:val="nil"/>
            </w:tcBorders>
            <w:shd w:val="clear" w:color="auto" w:fill="auto"/>
            <w:vAlign w:val="center"/>
            <w:hideMark/>
          </w:tcPr>
          <w:p w:rsidR="00DD7A23" w:rsidRPr="00F307F8" w:rsidRDefault="00DD7A23" w:rsidP="00DD7A23">
            <w:pPr>
              <w:jc w:val="center"/>
              <w:rPr>
                <w:b/>
                <w:bCs/>
                <w:sz w:val="24"/>
                <w:szCs w:val="24"/>
              </w:rPr>
            </w:pPr>
            <w:r w:rsidRPr="00F307F8">
              <w:rPr>
                <w:b/>
                <w:bCs/>
                <w:sz w:val="24"/>
                <w:szCs w:val="24"/>
              </w:rPr>
              <w:t>4</w:t>
            </w:r>
          </w:p>
        </w:tc>
        <w:tc>
          <w:tcPr>
            <w:tcW w:w="5244" w:type="dxa"/>
            <w:tcBorders>
              <w:top w:val="single" w:sz="4" w:space="0" w:color="auto"/>
              <w:left w:val="single" w:sz="4" w:space="0" w:color="auto"/>
              <w:bottom w:val="single" w:sz="4" w:space="0" w:color="auto"/>
              <w:right w:val="nil"/>
            </w:tcBorders>
            <w:shd w:val="clear" w:color="auto" w:fill="auto"/>
            <w:hideMark/>
          </w:tcPr>
          <w:p w:rsidR="00DD7A23" w:rsidRPr="00F307F8" w:rsidRDefault="00DD7A23" w:rsidP="00DD7A23">
            <w:pPr>
              <w:pStyle w:val="Ttulo"/>
              <w:spacing w:line="276" w:lineRule="auto"/>
              <w:jc w:val="both"/>
              <w:rPr>
                <w:rFonts w:ascii="Times New Roman" w:hAnsi="Times New Roman"/>
                <w:b w:val="0"/>
                <w:bCs/>
                <w:szCs w:val="24"/>
                <w:u w:val="single"/>
              </w:rPr>
            </w:pPr>
            <w:r w:rsidRPr="00F307F8">
              <w:rPr>
                <w:rFonts w:ascii="Times New Roman" w:hAnsi="Times New Roman"/>
                <w:szCs w:val="24"/>
              </w:rPr>
              <w:t>TANQUE RESFRIADOR DE LEITE, capacidade mínima de 500 litros e máxima de 550 litros</w:t>
            </w:r>
            <w:r w:rsidRPr="00F307F8">
              <w:rPr>
                <w:rFonts w:ascii="Times New Roman" w:hAnsi="Times New Roman"/>
                <w:b w:val="0"/>
                <w:szCs w:val="24"/>
              </w:rPr>
              <w:t>: Modelo Cilíndrico Vertical, para duas ordenhas / regime 24 horas, capaz de resfriar 50% de sua capacidade nominal de leite em no máximo 3 horas, Potência em CV</w:t>
            </w:r>
            <w:r w:rsidRPr="00F307F8">
              <w:rPr>
                <w:rFonts w:ascii="Times New Roman" w:hAnsi="Times New Roman"/>
                <w:b w:val="0"/>
                <w:szCs w:val="24"/>
                <w:u w:val="single"/>
              </w:rPr>
              <w:t>:</w:t>
            </w:r>
            <w:r w:rsidRPr="00F307F8">
              <w:rPr>
                <w:rFonts w:ascii="Times New Roman" w:hAnsi="Times New Roman"/>
                <w:b w:val="0"/>
                <w:szCs w:val="24"/>
              </w:rPr>
              <w:t xml:space="preserve"> 1,25 HP;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F307F8">
              <w:rPr>
                <w:rFonts w:ascii="Times New Roman" w:hAnsi="Times New Roman"/>
                <w:szCs w:val="24"/>
              </w:rPr>
              <w:t xml:space="preserve">, </w:t>
            </w:r>
            <w:r w:rsidRPr="00F307F8">
              <w:rPr>
                <w:rFonts w:ascii="Times New Roman" w:hAnsi="Times New Roman"/>
                <w:b w:val="0"/>
                <w:szCs w:val="24"/>
              </w:rPr>
              <w:t>Isolamento térmico: em poliuretano expandido com espessura no mínimo 50 mm no costado e mínimo 110 mm no fundo do tanque variando o desnível para escoamento do leite, Agitador</w:t>
            </w:r>
            <w:r w:rsidRPr="00F307F8">
              <w:rPr>
                <w:rFonts w:ascii="Times New Roman" w:hAnsi="Times New Roman"/>
                <w:szCs w:val="24"/>
              </w:rPr>
              <w:t>:</w:t>
            </w:r>
            <w:r w:rsidRPr="00F307F8">
              <w:rPr>
                <w:rFonts w:ascii="Times New Roman" w:hAnsi="Times New Roman"/>
                <w:b w:val="0"/>
                <w:szCs w:val="24"/>
                <w:u w:val="single"/>
              </w:rPr>
              <w:t xml:space="preserve"> </w:t>
            </w:r>
            <w:r w:rsidRPr="00F307F8">
              <w:rPr>
                <w:rFonts w:ascii="Times New Roman" w:hAnsi="Times New Roman"/>
                <w:b w:val="0"/>
                <w:szCs w:val="24"/>
              </w:rPr>
              <w:t>conjunto de agitador provido de motor- elétrico, redutor de engrenagens, eixo tubular e pás em aço inox AISI 304, rotação de 26 a 32 RPM e fixação do eixo da pá no eixo do redutor através de pino elástico. Tampa:</w:t>
            </w:r>
            <w:r w:rsidRPr="00F307F8">
              <w:rPr>
                <w:rFonts w:ascii="Times New Roman" w:hAnsi="Times New Roman"/>
                <w:szCs w:val="24"/>
              </w:rPr>
              <w:t xml:space="preserve"> </w:t>
            </w:r>
            <w:r w:rsidRPr="00F307F8">
              <w:rPr>
                <w:rFonts w:ascii="Times New Roman" w:hAnsi="Times New Roman"/>
                <w:b w:val="0"/>
                <w:szCs w:val="24"/>
              </w:rPr>
              <w:t xml:space="preserve">modelo plana, construída em </w:t>
            </w:r>
            <w:r w:rsidRPr="00F307F8">
              <w:rPr>
                <w:rFonts w:ascii="Times New Roman" w:hAnsi="Times New Roman"/>
                <w:b w:val="0"/>
                <w:szCs w:val="24"/>
              </w:rPr>
              <w:lastRenderedPageBreak/>
              <w:t>aço inox AISI 304 1,5 mm, rebordeadas de forma a ter um perfeito encaixe com a cambota do tanque. A fixação da tampa feita através de braços que articulam sobre um suporte fixado na traseira do revestimento. Tampa equilibrada com função de permanecer aberto, seja para inspeção ou limpeza, furo estampado  Ø190 mm com sobretampa para entrada do leite e suporte fixado ao braço da tampa para instalação de moto-redutor e agitador.  “Saídas do Tanque: totalmente sanitária com válvula borboleta estampada Ø2” com rosca padrão SMS para acoplamento do sistema de coleta e porca tampão plástica também de Ø2” SMS. Painel de Controle: painel elétrico localizado sobre a tampa, fixado através de suporte na parte traseira do braço de articulação da tampa, facilitando assim a visualização do controlador de temperatura. Painel com caixa elétrica com vedação, contactor,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calibradora, Chassi: Niveladores - construído em cantoneiras ABNT 1020 galvanizados 1/4” x 2.1/2”, chassi provido de parafusos niveladores galvanizados e apoiados sobre sapatas de inox, Unidade de Refrigeração:</w:t>
            </w:r>
            <w:r w:rsidRPr="00F307F8">
              <w:rPr>
                <w:rFonts w:ascii="Times New Roman" w:hAnsi="Times New Roman"/>
                <w:b w:val="0"/>
                <w:szCs w:val="24"/>
                <w:u w:val="single"/>
              </w:rPr>
              <w:t xml:space="preserve"> </w:t>
            </w:r>
            <w:r w:rsidRPr="00F307F8">
              <w:rPr>
                <w:rFonts w:ascii="Times New Roman" w:hAnsi="Times New Roman"/>
                <w:b w:val="0"/>
                <w:szCs w:val="24"/>
              </w:rPr>
              <w:t>unidade hermética, dimensionada para atender a norma ISO 5708 . Evaporador:</w:t>
            </w:r>
            <w:r w:rsidRPr="00F307F8">
              <w:rPr>
                <w:rFonts w:ascii="Times New Roman" w:hAnsi="Times New Roman"/>
                <w:b w:val="0"/>
                <w:szCs w:val="24"/>
                <w:u w:val="single"/>
              </w:rPr>
              <w:t xml:space="preserve"> </w:t>
            </w:r>
            <w:r w:rsidRPr="00F307F8">
              <w:rPr>
                <w:rFonts w:ascii="Times New Roman" w:hAnsi="Times New Roman"/>
                <w:b w:val="0"/>
                <w:szCs w:val="24"/>
              </w:rPr>
              <w:t xml:space="preserve">construído em aço inox AISI 304, formando alvéolos soldado através de pontos por laser, permitindo a refrigeração do leite por meio direto. Tubulação: em cobre, Filtro secador, fluido </w:t>
            </w:r>
            <w:r w:rsidRPr="00F307F8">
              <w:rPr>
                <w:rFonts w:ascii="Times New Roman" w:hAnsi="Times New Roman"/>
                <w:b w:val="0"/>
                <w:szCs w:val="24"/>
              </w:rPr>
              <w:lastRenderedPageBreak/>
              <w:t>refrigerante: R22.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A23" w:rsidRPr="00F307F8" w:rsidRDefault="00DD7A23" w:rsidP="00DD7A23">
            <w:pPr>
              <w:suppressAutoHyphens/>
              <w:snapToGrid w:val="0"/>
              <w:jc w:val="center"/>
              <w:rPr>
                <w:bCs/>
                <w:sz w:val="24"/>
                <w:szCs w:val="24"/>
              </w:rPr>
            </w:pPr>
            <w:r w:rsidRPr="00F307F8">
              <w:rPr>
                <w:bCs/>
                <w:sz w:val="24"/>
                <w:szCs w:val="24"/>
              </w:rPr>
              <w:lastRenderedPageBreak/>
              <w:t>Und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7A23" w:rsidRPr="00F307F8" w:rsidRDefault="00DD7A23" w:rsidP="00DD7A23">
            <w:pPr>
              <w:suppressAutoHyphens/>
              <w:snapToGrid w:val="0"/>
              <w:jc w:val="center"/>
              <w:rPr>
                <w:b/>
                <w:bCs/>
                <w:sz w:val="24"/>
                <w:szCs w:val="24"/>
              </w:rPr>
            </w:pPr>
            <w:r w:rsidRPr="00F307F8">
              <w:rPr>
                <w:b/>
                <w:bCs/>
                <w:sz w:val="24"/>
                <w:szCs w:val="24"/>
              </w:rPr>
              <w:t>60</w:t>
            </w:r>
          </w:p>
        </w:tc>
        <w:tc>
          <w:tcPr>
            <w:tcW w:w="1134" w:type="dxa"/>
            <w:tcBorders>
              <w:top w:val="single" w:sz="4" w:space="0" w:color="auto"/>
              <w:left w:val="nil"/>
              <w:bottom w:val="single" w:sz="4" w:space="0" w:color="auto"/>
              <w:right w:val="single" w:sz="4" w:space="0" w:color="auto"/>
            </w:tcBorders>
            <w:shd w:val="clear" w:color="auto" w:fill="auto"/>
            <w:vAlign w:val="center"/>
          </w:tcPr>
          <w:p w:rsidR="00DD7A23" w:rsidRPr="00F307F8" w:rsidRDefault="00DD7A23" w:rsidP="00DD7A23">
            <w:pPr>
              <w:jc w:val="center"/>
              <w:rPr>
                <w:sz w:val="24"/>
                <w:szCs w:val="24"/>
              </w:rPr>
            </w:pPr>
            <w:r w:rsidRPr="00F307F8">
              <w:rPr>
                <w:sz w:val="24"/>
                <w:szCs w:val="24"/>
              </w:rPr>
              <w:t>4.045,64</w:t>
            </w:r>
          </w:p>
        </w:tc>
        <w:tc>
          <w:tcPr>
            <w:tcW w:w="1275" w:type="dxa"/>
            <w:tcBorders>
              <w:top w:val="single" w:sz="4" w:space="0" w:color="auto"/>
              <w:left w:val="nil"/>
              <w:bottom w:val="single" w:sz="4" w:space="0" w:color="auto"/>
              <w:right w:val="single" w:sz="4" w:space="0" w:color="auto"/>
            </w:tcBorders>
            <w:vAlign w:val="center"/>
          </w:tcPr>
          <w:p w:rsidR="00DD7A23" w:rsidRPr="00F307F8" w:rsidRDefault="00DD7A23" w:rsidP="00DD7A23">
            <w:pPr>
              <w:jc w:val="center"/>
              <w:rPr>
                <w:color w:val="000000"/>
                <w:sz w:val="24"/>
                <w:szCs w:val="24"/>
              </w:rPr>
            </w:pPr>
            <w:r w:rsidRPr="00F307F8">
              <w:rPr>
                <w:color w:val="000000"/>
                <w:sz w:val="24"/>
                <w:szCs w:val="24"/>
              </w:rPr>
              <w:t>242.738,40</w:t>
            </w:r>
          </w:p>
        </w:tc>
      </w:tr>
    </w:tbl>
    <w:p w:rsidR="00DD7A23" w:rsidRPr="00F307F8" w:rsidRDefault="00DD7A23" w:rsidP="00463B3A">
      <w:pPr>
        <w:pStyle w:val="Ttulo"/>
        <w:ind w:left="-284" w:right="-852"/>
        <w:jc w:val="left"/>
        <w:rPr>
          <w:rFonts w:ascii="Times New Roman" w:hAnsi="Times New Roman"/>
          <w:bCs/>
          <w:color w:val="FF0000"/>
          <w:szCs w:val="24"/>
        </w:rPr>
      </w:pPr>
    </w:p>
    <w:p w:rsidR="00DD7A23" w:rsidRPr="00F307F8" w:rsidRDefault="00DD7A23" w:rsidP="00463B3A">
      <w:pPr>
        <w:pStyle w:val="Ttulo"/>
        <w:ind w:left="-284" w:right="-852"/>
        <w:jc w:val="left"/>
        <w:rPr>
          <w:rFonts w:ascii="Times New Roman" w:hAnsi="Times New Roman"/>
          <w:bCs/>
          <w:color w:val="FF0000"/>
          <w:szCs w:val="24"/>
        </w:rPr>
      </w:pPr>
    </w:p>
    <w:p w:rsidR="00B41AED" w:rsidRPr="00F307F8" w:rsidRDefault="00B41AED" w:rsidP="00B41AED">
      <w:pPr>
        <w:pStyle w:val="Ttulo"/>
        <w:ind w:left="-284" w:right="-852"/>
        <w:jc w:val="left"/>
        <w:rPr>
          <w:bCs/>
          <w:szCs w:val="24"/>
          <w:u w:val="single"/>
        </w:rPr>
      </w:pPr>
      <w:r w:rsidRPr="00F307F8">
        <w:rPr>
          <w:rFonts w:ascii="Times New Roman" w:hAnsi="Times New Roman"/>
          <w:szCs w:val="24"/>
        </w:rPr>
        <w:t>LEIA-SE:</w:t>
      </w:r>
      <w:r w:rsidRPr="00F307F8">
        <w:rPr>
          <w:rFonts w:ascii="Times New Roman" w:hAnsi="Times New Roman"/>
          <w:b w:val="0"/>
          <w:bCs/>
          <w:szCs w:val="24"/>
        </w:rPr>
        <w:t xml:space="preserve"> </w:t>
      </w:r>
      <w:r w:rsidRPr="00F307F8">
        <w:rPr>
          <w:rFonts w:ascii="Times New Roman" w:hAnsi="Times New Roman"/>
          <w:bCs/>
          <w:color w:val="FF0000"/>
          <w:szCs w:val="24"/>
        </w:rPr>
        <w:t>DO QUADRO ESTIMATIVO DE PREÇO -  ANEXO II DO EDITAL</w:t>
      </w:r>
      <w:r w:rsidRPr="00F307F8">
        <w:rPr>
          <w:bCs/>
          <w:szCs w:val="24"/>
          <w:u w:val="single"/>
        </w:rPr>
        <w:t xml:space="preserve"> </w:t>
      </w:r>
    </w:p>
    <w:p w:rsidR="00B41AED" w:rsidRPr="00F307F8" w:rsidRDefault="00B41AED" w:rsidP="00B41AED">
      <w:pPr>
        <w:ind w:left="-284" w:right="-852"/>
        <w:rPr>
          <w:b/>
          <w:bCs/>
          <w:color w:val="FF0000"/>
          <w:sz w:val="24"/>
          <w:szCs w:val="24"/>
        </w:rPr>
      </w:pPr>
    </w:p>
    <w:tbl>
      <w:tblPr>
        <w:tblW w:w="8789" w:type="dxa"/>
        <w:tblInd w:w="-214" w:type="dxa"/>
        <w:tblCellMar>
          <w:left w:w="70" w:type="dxa"/>
          <w:right w:w="70" w:type="dxa"/>
        </w:tblCellMar>
        <w:tblLook w:val="04A0"/>
      </w:tblPr>
      <w:tblGrid>
        <w:gridCol w:w="710"/>
        <w:gridCol w:w="4110"/>
        <w:gridCol w:w="709"/>
        <w:gridCol w:w="709"/>
        <w:gridCol w:w="1276"/>
        <w:gridCol w:w="1275"/>
      </w:tblGrid>
      <w:tr w:rsidR="006629B9" w:rsidRPr="00F307F8" w:rsidTr="000C46F7">
        <w:trPr>
          <w:trHeight w:val="671"/>
        </w:trPr>
        <w:tc>
          <w:tcPr>
            <w:tcW w:w="710" w:type="dxa"/>
            <w:tcBorders>
              <w:top w:val="single" w:sz="4" w:space="0" w:color="auto"/>
              <w:left w:val="single" w:sz="4" w:space="0" w:color="auto"/>
              <w:bottom w:val="single" w:sz="4" w:space="0" w:color="auto"/>
              <w:right w:val="nil"/>
            </w:tcBorders>
            <w:shd w:val="clear" w:color="auto" w:fill="auto"/>
            <w:vAlign w:val="center"/>
            <w:hideMark/>
          </w:tcPr>
          <w:p w:rsidR="006629B9" w:rsidRPr="00F307F8" w:rsidRDefault="006629B9" w:rsidP="000C46F7">
            <w:pPr>
              <w:jc w:val="center"/>
              <w:rPr>
                <w:b/>
                <w:bCs/>
                <w:sz w:val="24"/>
                <w:szCs w:val="24"/>
              </w:rPr>
            </w:pPr>
            <w:r w:rsidRPr="00F307F8">
              <w:rPr>
                <w:b/>
                <w:bCs/>
                <w:sz w:val="24"/>
                <w:szCs w:val="24"/>
              </w:rPr>
              <w:t>4</w:t>
            </w:r>
          </w:p>
        </w:tc>
        <w:tc>
          <w:tcPr>
            <w:tcW w:w="4110" w:type="dxa"/>
            <w:tcBorders>
              <w:top w:val="single" w:sz="4" w:space="0" w:color="auto"/>
              <w:left w:val="single" w:sz="4" w:space="0" w:color="auto"/>
              <w:bottom w:val="single" w:sz="4" w:space="0" w:color="auto"/>
              <w:right w:val="nil"/>
            </w:tcBorders>
            <w:shd w:val="clear" w:color="auto" w:fill="auto"/>
            <w:hideMark/>
          </w:tcPr>
          <w:p w:rsidR="006629B9" w:rsidRPr="00F307F8" w:rsidRDefault="006629B9" w:rsidP="000C46F7">
            <w:pPr>
              <w:pStyle w:val="Ttulo"/>
              <w:spacing w:line="276" w:lineRule="auto"/>
              <w:jc w:val="both"/>
              <w:rPr>
                <w:rFonts w:ascii="Times New Roman" w:hAnsi="Times New Roman"/>
                <w:b w:val="0"/>
                <w:bCs/>
                <w:szCs w:val="24"/>
                <w:u w:val="single"/>
              </w:rPr>
            </w:pPr>
            <w:r w:rsidRPr="00F307F8">
              <w:rPr>
                <w:rFonts w:ascii="Times New Roman" w:hAnsi="Times New Roman"/>
                <w:szCs w:val="24"/>
              </w:rPr>
              <w:t>TANQUE RESFRIADOR DE LEITE, capacidade mínima de 500 litros e máxima de 550 litros</w:t>
            </w:r>
            <w:r w:rsidRPr="00F307F8">
              <w:rPr>
                <w:rFonts w:ascii="Times New Roman" w:hAnsi="Times New Roman"/>
                <w:b w:val="0"/>
                <w:szCs w:val="24"/>
              </w:rPr>
              <w:t>: Modelo Cilíndrico Vertical, para duas ordenhas / regime 24 horas, capaz de resfriar 50% de sua capacidade nominal de leite em no máximo 3 horas, Potência em CV</w:t>
            </w:r>
            <w:r w:rsidRPr="00F307F8">
              <w:rPr>
                <w:rFonts w:ascii="Times New Roman" w:hAnsi="Times New Roman"/>
                <w:b w:val="0"/>
                <w:szCs w:val="24"/>
                <w:u w:val="single"/>
              </w:rPr>
              <w:t>:</w:t>
            </w:r>
            <w:r w:rsidRPr="00F307F8">
              <w:rPr>
                <w:rFonts w:ascii="Times New Roman" w:hAnsi="Times New Roman"/>
                <w:b w:val="0"/>
                <w:szCs w:val="24"/>
              </w:rPr>
              <w:t xml:space="preserve"> 1,25 HP;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F307F8">
              <w:rPr>
                <w:rFonts w:ascii="Times New Roman" w:hAnsi="Times New Roman"/>
                <w:szCs w:val="24"/>
              </w:rPr>
              <w:t xml:space="preserve">, </w:t>
            </w:r>
            <w:r w:rsidRPr="00F307F8">
              <w:rPr>
                <w:rFonts w:ascii="Times New Roman" w:hAnsi="Times New Roman"/>
                <w:b w:val="0"/>
                <w:szCs w:val="24"/>
              </w:rPr>
              <w:t>Isolamento térmico: em poliuretano expandido com espessura no mínimo 50 mm no costado e mínimo 110 mm no fundo do tanque variando o desnível para escoamento do leite, Agitador</w:t>
            </w:r>
            <w:r w:rsidRPr="00F307F8">
              <w:rPr>
                <w:rFonts w:ascii="Times New Roman" w:hAnsi="Times New Roman"/>
                <w:szCs w:val="24"/>
              </w:rPr>
              <w:t>:</w:t>
            </w:r>
            <w:r w:rsidRPr="00F307F8">
              <w:rPr>
                <w:rFonts w:ascii="Times New Roman" w:hAnsi="Times New Roman"/>
                <w:b w:val="0"/>
                <w:szCs w:val="24"/>
                <w:u w:val="single"/>
              </w:rPr>
              <w:t xml:space="preserve"> </w:t>
            </w:r>
            <w:r w:rsidRPr="00F307F8">
              <w:rPr>
                <w:rFonts w:ascii="Times New Roman" w:hAnsi="Times New Roman"/>
                <w:b w:val="0"/>
                <w:szCs w:val="24"/>
              </w:rPr>
              <w:t>conjunto de agitador provido de motor- elétrico, redutor de engrenagens, eixo tubular e pás em aço inox AISI 304, rotação de 26 a 32 RPM e fixação do eixo da pá no eixo do redutor através de pino elástico. Tampa:</w:t>
            </w:r>
            <w:r w:rsidRPr="00F307F8">
              <w:rPr>
                <w:rFonts w:ascii="Times New Roman" w:hAnsi="Times New Roman"/>
                <w:szCs w:val="24"/>
              </w:rPr>
              <w:t xml:space="preserve"> </w:t>
            </w:r>
            <w:r w:rsidRPr="00F307F8">
              <w:rPr>
                <w:rFonts w:ascii="Times New Roman" w:hAnsi="Times New Roman"/>
                <w:b w:val="0"/>
                <w:szCs w:val="24"/>
              </w:rPr>
              <w:t xml:space="preserve">modelo plana, construída em aço inox AISI 304 1,5 mm, rebordeadas de forma a ter um perfeito encaixe com a cambota do tanque. A fixação da tampa feita através de braços que articulam sobre um suporte fixado na traseira do revestimento. Tampa equilibrada com </w:t>
            </w:r>
            <w:r w:rsidRPr="00F307F8">
              <w:rPr>
                <w:rFonts w:ascii="Times New Roman" w:hAnsi="Times New Roman"/>
                <w:b w:val="0"/>
                <w:szCs w:val="24"/>
              </w:rPr>
              <w:lastRenderedPageBreak/>
              <w:t>função de permanecer aberto, seja para inspeção ou limpeza, furo estampado  Ø190 mm com sobretampa para entrada do leite e suporte fixado ao braço da tampa para instalação de moto-redutor e agitador.  “Saídas do Tanque: totalmente sanitária com válvula borboleta estampada Ø2” com rosca padrão SMS para acoplamento do sistema de coleta e porca tampão plástica também de Ø2” SMS. Painel de Controle: painel elétrico localizado sobre a tampa, fixado através de suporte na parte traseira do braço de articulação da tampa, facilitando assim a visualização do controlador de temperatura. Painel com caixa elétrica com vedação, contactor,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calibradora, Chassi: Niveladores - construído em cantoneiras ABNT 1020 galvanizados 1/4” x 2.1/2”, chassi provido de parafusos niveladores galvanizados e apoiados sobre sapatas de inox, Unidade de Refrigeração:</w:t>
            </w:r>
            <w:r w:rsidRPr="00F307F8">
              <w:rPr>
                <w:rFonts w:ascii="Times New Roman" w:hAnsi="Times New Roman"/>
                <w:b w:val="0"/>
                <w:szCs w:val="24"/>
                <w:u w:val="single"/>
              </w:rPr>
              <w:t xml:space="preserve"> </w:t>
            </w:r>
            <w:r w:rsidRPr="00F307F8">
              <w:rPr>
                <w:rFonts w:ascii="Times New Roman" w:hAnsi="Times New Roman"/>
                <w:b w:val="0"/>
                <w:szCs w:val="24"/>
              </w:rPr>
              <w:t xml:space="preserve">unidade hermética, dimensionada para atender a </w:t>
            </w:r>
            <w:r w:rsidRPr="00F307F8">
              <w:rPr>
                <w:rFonts w:ascii="Times New Roman" w:hAnsi="Times New Roman"/>
                <w:b w:val="0"/>
                <w:szCs w:val="24"/>
              </w:rPr>
              <w:lastRenderedPageBreak/>
              <w:t>norma ISO 5708 . Evaporador:</w:t>
            </w:r>
            <w:r w:rsidRPr="00F307F8">
              <w:rPr>
                <w:rFonts w:ascii="Times New Roman" w:hAnsi="Times New Roman"/>
                <w:b w:val="0"/>
                <w:szCs w:val="24"/>
                <w:u w:val="single"/>
              </w:rPr>
              <w:t xml:space="preserve"> </w:t>
            </w:r>
            <w:r w:rsidRPr="00F307F8">
              <w:rPr>
                <w:rFonts w:ascii="Times New Roman" w:hAnsi="Times New Roman"/>
                <w:b w:val="0"/>
                <w:szCs w:val="24"/>
              </w:rPr>
              <w:t>construído em aço inox AISI 304, formando alvéolos soldado através de pontos por laser, permitindo a refrigeração do leite por meio direto. Tubulação: em cobre, Filtro secador, fluido refrigerante: R22.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9B9" w:rsidRPr="00F307F8" w:rsidRDefault="006629B9" w:rsidP="000C46F7">
            <w:pPr>
              <w:suppressAutoHyphens/>
              <w:snapToGrid w:val="0"/>
              <w:jc w:val="center"/>
              <w:rPr>
                <w:bCs/>
                <w:sz w:val="24"/>
                <w:szCs w:val="24"/>
              </w:rPr>
            </w:pPr>
            <w:r w:rsidRPr="00F307F8">
              <w:rPr>
                <w:bCs/>
                <w:sz w:val="24"/>
                <w:szCs w:val="24"/>
              </w:rPr>
              <w:lastRenderedPageBreak/>
              <w:t>Und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629B9" w:rsidRPr="00F307F8" w:rsidRDefault="006629B9" w:rsidP="000C46F7">
            <w:pPr>
              <w:suppressAutoHyphens/>
              <w:snapToGrid w:val="0"/>
              <w:jc w:val="center"/>
              <w:rPr>
                <w:bCs/>
                <w:sz w:val="24"/>
                <w:szCs w:val="24"/>
              </w:rPr>
            </w:pPr>
            <w:r w:rsidRPr="00F307F8">
              <w:rPr>
                <w:bCs/>
                <w:sz w:val="24"/>
                <w:szCs w:val="24"/>
              </w:rPr>
              <w:t>60</w:t>
            </w:r>
          </w:p>
        </w:tc>
        <w:tc>
          <w:tcPr>
            <w:tcW w:w="1276" w:type="dxa"/>
            <w:tcBorders>
              <w:top w:val="single" w:sz="4" w:space="0" w:color="auto"/>
              <w:left w:val="nil"/>
              <w:bottom w:val="single" w:sz="4" w:space="0" w:color="auto"/>
              <w:right w:val="single" w:sz="4" w:space="0" w:color="auto"/>
            </w:tcBorders>
            <w:shd w:val="clear" w:color="auto" w:fill="auto"/>
            <w:vAlign w:val="center"/>
          </w:tcPr>
          <w:p w:rsidR="006629B9" w:rsidRPr="00F307F8" w:rsidRDefault="006629B9" w:rsidP="000C46F7">
            <w:pPr>
              <w:jc w:val="center"/>
              <w:rPr>
                <w:b/>
                <w:i/>
                <w:sz w:val="24"/>
                <w:szCs w:val="24"/>
              </w:rPr>
            </w:pPr>
          </w:p>
          <w:p w:rsidR="006629B9" w:rsidRPr="00F307F8" w:rsidRDefault="006629B9" w:rsidP="000C46F7">
            <w:pPr>
              <w:jc w:val="center"/>
              <w:rPr>
                <w:rFonts w:ascii="Arial" w:hAnsi="Arial" w:cs="Arial"/>
                <w:b/>
                <w:i/>
                <w:sz w:val="24"/>
                <w:szCs w:val="24"/>
              </w:rPr>
            </w:pPr>
            <w:r w:rsidRPr="00F307F8">
              <w:rPr>
                <w:b/>
                <w:i/>
                <w:sz w:val="24"/>
                <w:szCs w:val="24"/>
              </w:rPr>
              <w:t>15.833,33</w:t>
            </w:r>
          </w:p>
          <w:p w:rsidR="006629B9" w:rsidRPr="00F307F8" w:rsidRDefault="006629B9" w:rsidP="000C46F7">
            <w:pPr>
              <w:jc w:val="center"/>
              <w:rPr>
                <w:b/>
                <w:bCs/>
                <w:i/>
                <w:sz w:val="24"/>
                <w:szCs w:val="24"/>
              </w:rPr>
            </w:pPr>
          </w:p>
        </w:tc>
        <w:tc>
          <w:tcPr>
            <w:tcW w:w="1275" w:type="dxa"/>
            <w:tcBorders>
              <w:top w:val="single" w:sz="4" w:space="0" w:color="auto"/>
              <w:left w:val="nil"/>
              <w:bottom w:val="single" w:sz="4" w:space="0" w:color="auto"/>
              <w:right w:val="single" w:sz="4" w:space="0" w:color="auto"/>
            </w:tcBorders>
            <w:vAlign w:val="center"/>
          </w:tcPr>
          <w:p w:rsidR="006629B9" w:rsidRPr="00F307F8" w:rsidRDefault="006629B9" w:rsidP="000C46F7">
            <w:pPr>
              <w:jc w:val="center"/>
              <w:rPr>
                <w:b/>
                <w:i/>
                <w:color w:val="000000"/>
                <w:sz w:val="24"/>
                <w:szCs w:val="24"/>
              </w:rPr>
            </w:pPr>
          </w:p>
          <w:p w:rsidR="006629B9" w:rsidRPr="00F307F8" w:rsidRDefault="006629B9" w:rsidP="000C46F7">
            <w:pPr>
              <w:jc w:val="center"/>
              <w:rPr>
                <w:b/>
                <w:i/>
                <w:color w:val="000000"/>
                <w:sz w:val="24"/>
                <w:szCs w:val="24"/>
              </w:rPr>
            </w:pPr>
            <w:r w:rsidRPr="00F307F8">
              <w:rPr>
                <w:b/>
                <w:i/>
                <w:color w:val="000000"/>
                <w:sz w:val="24"/>
                <w:szCs w:val="24"/>
              </w:rPr>
              <w:t>949.999,80</w:t>
            </w:r>
          </w:p>
          <w:p w:rsidR="006629B9" w:rsidRPr="00F307F8" w:rsidRDefault="006629B9" w:rsidP="000C46F7">
            <w:pPr>
              <w:jc w:val="center"/>
              <w:rPr>
                <w:b/>
                <w:bCs/>
                <w:i/>
                <w:sz w:val="24"/>
                <w:szCs w:val="24"/>
              </w:rPr>
            </w:pPr>
          </w:p>
        </w:tc>
      </w:tr>
    </w:tbl>
    <w:p w:rsidR="006629B9" w:rsidRPr="00F307F8" w:rsidRDefault="006629B9" w:rsidP="006629B9">
      <w:pPr>
        <w:rPr>
          <w:b/>
          <w:bCs/>
          <w:snapToGrid w:val="0"/>
          <w:color w:val="FF0000"/>
          <w:sz w:val="24"/>
          <w:szCs w:val="24"/>
        </w:rPr>
      </w:pPr>
    </w:p>
    <w:p w:rsidR="006629B9" w:rsidRPr="006629B9" w:rsidRDefault="006629B9" w:rsidP="006629B9">
      <w:pPr>
        <w:tabs>
          <w:tab w:val="left" w:pos="993"/>
          <w:tab w:val="left" w:pos="9498"/>
        </w:tabs>
        <w:autoSpaceDE w:val="0"/>
        <w:adjustRightInd w:val="0"/>
        <w:jc w:val="both"/>
        <w:rPr>
          <w:b/>
          <w:bCs/>
          <w:color w:val="0070C0"/>
          <w:sz w:val="22"/>
          <w:szCs w:val="22"/>
        </w:rPr>
      </w:pPr>
      <w:r w:rsidRPr="006629B9">
        <w:rPr>
          <w:b/>
          <w:bCs/>
          <w:color w:val="FF0000"/>
          <w:sz w:val="22"/>
          <w:szCs w:val="22"/>
        </w:rPr>
        <w:t>VALOR TOTAL ESTIMADO:</w:t>
      </w:r>
      <w:r>
        <w:rPr>
          <w:bCs/>
          <w:color w:val="FF0000"/>
          <w:sz w:val="22"/>
          <w:szCs w:val="22"/>
        </w:rPr>
        <w:t xml:space="preserve"> </w:t>
      </w:r>
      <w:r w:rsidRPr="006629B9">
        <w:rPr>
          <w:b/>
          <w:bCs/>
          <w:color w:val="0070C0"/>
          <w:sz w:val="36"/>
          <w:szCs w:val="36"/>
        </w:rPr>
        <w:t>R$ 24.221.075,60</w:t>
      </w:r>
      <w:r>
        <w:rPr>
          <w:bCs/>
          <w:color w:val="000000"/>
        </w:rPr>
        <w:t xml:space="preserve"> </w:t>
      </w:r>
    </w:p>
    <w:p w:rsidR="006629B9" w:rsidRPr="006629B9" w:rsidRDefault="006629B9" w:rsidP="006629B9">
      <w:pPr>
        <w:tabs>
          <w:tab w:val="left" w:pos="993"/>
          <w:tab w:val="left" w:pos="9498"/>
        </w:tabs>
        <w:autoSpaceDE w:val="0"/>
        <w:adjustRightInd w:val="0"/>
        <w:jc w:val="both"/>
        <w:rPr>
          <w:b/>
          <w:bCs/>
          <w:color w:val="0070C0"/>
          <w:sz w:val="22"/>
          <w:szCs w:val="22"/>
        </w:rPr>
      </w:pPr>
    </w:p>
    <w:p w:rsidR="00DD7A23" w:rsidRDefault="00DD7A23" w:rsidP="00463B3A">
      <w:pPr>
        <w:pStyle w:val="Ttulo"/>
        <w:ind w:left="-284" w:right="-852"/>
        <w:jc w:val="left"/>
        <w:rPr>
          <w:rFonts w:ascii="Times New Roman" w:hAnsi="Times New Roman"/>
          <w:bCs/>
          <w:color w:val="FF0000"/>
          <w:sz w:val="22"/>
          <w:szCs w:val="22"/>
        </w:rPr>
      </w:pPr>
    </w:p>
    <w:p w:rsidR="006629B9" w:rsidRPr="00463B3A" w:rsidRDefault="006629B9" w:rsidP="00463B3A">
      <w:pPr>
        <w:pStyle w:val="Ttulo"/>
        <w:ind w:left="-284" w:right="-852"/>
        <w:jc w:val="left"/>
        <w:rPr>
          <w:rFonts w:ascii="Times New Roman" w:hAnsi="Times New Roman"/>
          <w:bCs/>
          <w:color w:val="FF0000"/>
          <w:sz w:val="22"/>
          <w:szCs w:val="22"/>
        </w:rPr>
      </w:pPr>
    </w:p>
    <w:p w:rsidR="00463B3A" w:rsidRPr="00F307F8" w:rsidRDefault="00463B3A" w:rsidP="00463B3A">
      <w:pPr>
        <w:pStyle w:val="Ttulo"/>
        <w:ind w:left="-284" w:right="-852"/>
        <w:jc w:val="left"/>
        <w:rPr>
          <w:rFonts w:ascii="Times New Roman" w:hAnsi="Times New Roman"/>
          <w:b w:val="0"/>
          <w:snapToGrid/>
          <w:szCs w:val="24"/>
          <w:lang w:eastAsia="zh-CN"/>
        </w:rPr>
      </w:pPr>
      <w:r w:rsidRPr="00F307F8">
        <w:rPr>
          <w:rFonts w:ascii="Times New Roman" w:hAnsi="Times New Roman"/>
          <w:b w:val="0"/>
          <w:snapToGrid/>
          <w:szCs w:val="24"/>
          <w:lang w:eastAsia="zh-CN"/>
        </w:rPr>
        <w:t>Portanto, esclarece este Pregoeiro, que permanecerão inalterados todos os dizeres contidos no edital e seus Anexos.</w:t>
      </w:r>
    </w:p>
    <w:p w:rsidR="00C9647A" w:rsidRPr="00F307F8" w:rsidRDefault="00C9647A" w:rsidP="00C9647A">
      <w:pPr>
        <w:ind w:left="-284"/>
        <w:rPr>
          <w:b/>
          <w:bCs/>
          <w:sz w:val="24"/>
          <w:szCs w:val="24"/>
        </w:rPr>
      </w:pPr>
    </w:p>
    <w:p w:rsidR="007908FF" w:rsidRPr="00F307F8" w:rsidRDefault="007908FF" w:rsidP="00F20746">
      <w:pPr>
        <w:autoSpaceDE w:val="0"/>
        <w:autoSpaceDN w:val="0"/>
        <w:adjustRightInd w:val="0"/>
        <w:ind w:left="-284"/>
        <w:jc w:val="both"/>
        <w:rPr>
          <w:sz w:val="24"/>
          <w:szCs w:val="24"/>
        </w:rPr>
      </w:pPr>
    </w:p>
    <w:p w:rsidR="009B5B2A" w:rsidRPr="00F307F8" w:rsidRDefault="00DD7A23" w:rsidP="00463B3A">
      <w:pPr>
        <w:ind w:right="-852"/>
        <w:contextualSpacing/>
        <w:jc w:val="right"/>
        <w:rPr>
          <w:sz w:val="24"/>
          <w:szCs w:val="24"/>
          <w:lang w:eastAsia="zh-CN"/>
        </w:rPr>
      </w:pPr>
      <w:r w:rsidRPr="00F307F8">
        <w:rPr>
          <w:sz w:val="24"/>
          <w:szCs w:val="24"/>
          <w:lang w:eastAsia="zh-CN"/>
        </w:rPr>
        <w:t>Porto Velho - RO, 09</w:t>
      </w:r>
      <w:r w:rsidR="009B5B2A" w:rsidRPr="00F307F8">
        <w:rPr>
          <w:sz w:val="24"/>
          <w:szCs w:val="24"/>
          <w:lang w:eastAsia="zh-CN"/>
        </w:rPr>
        <w:t xml:space="preserve"> de </w:t>
      </w:r>
      <w:r w:rsidRPr="00F307F8">
        <w:rPr>
          <w:sz w:val="24"/>
          <w:szCs w:val="24"/>
          <w:lang w:eastAsia="zh-CN"/>
        </w:rPr>
        <w:t>agosto</w:t>
      </w:r>
      <w:r w:rsidR="009B5B2A" w:rsidRPr="00F307F8">
        <w:rPr>
          <w:sz w:val="24"/>
          <w:szCs w:val="24"/>
          <w:lang w:eastAsia="zh-CN"/>
        </w:rPr>
        <w:t xml:space="preserve"> de 2017.</w:t>
      </w:r>
    </w:p>
    <w:p w:rsidR="007908FF" w:rsidRPr="00F307F8" w:rsidRDefault="007908FF" w:rsidP="007908FF">
      <w:pPr>
        <w:ind w:left="709" w:right="-142"/>
        <w:jc w:val="both"/>
        <w:rPr>
          <w:color w:val="FF0000"/>
          <w:sz w:val="24"/>
          <w:szCs w:val="24"/>
          <w:lang w:eastAsia="zh-CN"/>
        </w:rPr>
      </w:pPr>
    </w:p>
    <w:p w:rsidR="007908FF" w:rsidRPr="00F307F8" w:rsidRDefault="007908FF" w:rsidP="007908FF">
      <w:pPr>
        <w:ind w:left="709"/>
        <w:jc w:val="both"/>
        <w:rPr>
          <w:sz w:val="24"/>
          <w:szCs w:val="24"/>
        </w:rPr>
      </w:pPr>
    </w:p>
    <w:p w:rsidR="007908FF" w:rsidRPr="00F307F8" w:rsidRDefault="007908FF" w:rsidP="007908FF">
      <w:pPr>
        <w:tabs>
          <w:tab w:val="left" w:pos="142"/>
          <w:tab w:val="left" w:pos="4536"/>
        </w:tabs>
        <w:ind w:left="709"/>
        <w:jc w:val="center"/>
        <w:rPr>
          <w:b/>
          <w:sz w:val="24"/>
          <w:szCs w:val="24"/>
        </w:rPr>
      </w:pPr>
      <w:r w:rsidRPr="00F307F8">
        <w:rPr>
          <w:b/>
          <w:sz w:val="24"/>
          <w:szCs w:val="24"/>
        </w:rPr>
        <w:t>ROGÉRIO PEREIRA SANTANA</w:t>
      </w:r>
    </w:p>
    <w:p w:rsidR="007908FF" w:rsidRPr="00F307F8" w:rsidRDefault="007908FF" w:rsidP="007908FF">
      <w:pPr>
        <w:tabs>
          <w:tab w:val="left" w:pos="142"/>
        </w:tabs>
        <w:jc w:val="center"/>
        <w:rPr>
          <w:b/>
          <w:sz w:val="24"/>
          <w:szCs w:val="24"/>
        </w:rPr>
      </w:pPr>
      <w:r w:rsidRPr="00F307F8">
        <w:rPr>
          <w:b/>
          <w:sz w:val="24"/>
          <w:szCs w:val="24"/>
        </w:rPr>
        <w:t xml:space="preserve">         Pregoeiro GAMA/SUPEL</w:t>
      </w:r>
    </w:p>
    <w:p w:rsidR="007908FF" w:rsidRPr="00F307F8" w:rsidRDefault="007908FF" w:rsidP="007908FF">
      <w:pPr>
        <w:ind w:left="-567"/>
        <w:jc w:val="center"/>
        <w:rPr>
          <w:b/>
          <w:sz w:val="24"/>
          <w:szCs w:val="24"/>
        </w:rPr>
      </w:pPr>
      <w:r w:rsidRPr="00F307F8">
        <w:rPr>
          <w:b/>
          <w:sz w:val="24"/>
          <w:szCs w:val="24"/>
        </w:rPr>
        <w:t xml:space="preserve">                      Mat. 300109135</w:t>
      </w:r>
    </w:p>
    <w:p w:rsidR="009B5B2A" w:rsidRDefault="009B5B2A" w:rsidP="009B5B2A">
      <w:pPr>
        <w:autoSpaceDE w:val="0"/>
        <w:autoSpaceDN w:val="0"/>
        <w:adjustRightInd w:val="0"/>
        <w:rPr>
          <w:rFonts w:ascii="Open Sans" w:eastAsiaTheme="minorHAnsi" w:hAnsi="Open Sans" w:cs="Open Sans"/>
          <w:sz w:val="14"/>
          <w:szCs w:val="14"/>
          <w:lang w:eastAsia="en-US"/>
        </w:rPr>
      </w:pPr>
    </w:p>
    <w:p w:rsidR="007908FF" w:rsidRDefault="007908FF" w:rsidP="007908FF">
      <w:pPr>
        <w:pStyle w:val="Ttulo"/>
        <w:rPr>
          <w:rFonts w:ascii="Times New Roman" w:hAnsi="Times New Roman"/>
          <w:bCs/>
          <w:color w:val="000000"/>
          <w:sz w:val="22"/>
          <w:szCs w:val="22"/>
          <w:u w:val="single"/>
        </w:rPr>
      </w:pPr>
    </w:p>
    <w:p w:rsidR="007908FF" w:rsidRDefault="007908FF" w:rsidP="007908FF">
      <w:pPr>
        <w:pStyle w:val="Ttulo"/>
        <w:rPr>
          <w:rFonts w:ascii="Times New Roman" w:hAnsi="Times New Roman"/>
          <w:bCs/>
          <w:color w:val="000000"/>
          <w:sz w:val="22"/>
          <w:szCs w:val="22"/>
          <w:u w:val="single"/>
        </w:rPr>
      </w:pPr>
    </w:p>
    <w:sectPr w:rsidR="007908FF" w:rsidSect="00463C90">
      <w:headerReference w:type="default" r:id="rId8"/>
      <w:footerReference w:type="default" r:id="rId9"/>
      <w:pgSz w:w="11906" w:h="16838"/>
      <w:pgMar w:top="1417" w:right="1701" w:bottom="1417" w:left="1701" w:header="708"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A23" w:rsidRDefault="00DD7A23" w:rsidP="007908FF">
      <w:r>
        <w:separator/>
      </w:r>
    </w:p>
  </w:endnote>
  <w:endnote w:type="continuationSeparator" w:id="1">
    <w:p w:rsidR="00DD7A23" w:rsidRDefault="00DD7A23" w:rsidP="007908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Utah">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Open 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1" w:type="dxa"/>
      <w:jc w:val="center"/>
      <w:tblInd w:w="16" w:type="dxa"/>
      <w:tblBorders>
        <w:top w:val="single" w:sz="4" w:space="0" w:color="auto"/>
      </w:tblBorders>
      <w:tblCellMar>
        <w:left w:w="70" w:type="dxa"/>
        <w:right w:w="70" w:type="dxa"/>
      </w:tblCellMar>
      <w:tblLook w:val="0000"/>
    </w:tblPr>
    <w:tblGrid>
      <w:gridCol w:w="9561"/>
    </w:tblGrid>
    <w:tr w:rsidR="00DD7A23" w:rsidTr="009B5B2A">
      <w:trPr>
        <w:trHeight w:val="947"/>
        <w:jc w:val="center"/>
      </w:trPr>
      <w:tc>
        <w:tcPr>
          <w:tcW w:w="9561" w:type="dxa"/>
        </w:tcPr>
        <w:p w:rsidR="00DD7A23" w:rsidRDefault="00DD7A23" w:rsidP="009B5B2A">
          <w:pPr>
            <w:pStyle w:val="Rodap"/>
            <w:tabs>
              <w:tab w:val="clear" w:pos="4419"/>
            </w:tabs>
            <w:jc w:val="center"/>
            <w:rPr>
              <w:sz w:val="14"/>
              <w:szCs w:val="14"/>
            </w:rPr>
          </w:pPr>
          <w:r>
            <w:rPr>
              <w:sz w:val="14"/>
              <w:szCs w:val="14"/>
            </w:rPr>
            <w:t>Complexo Rio Madeira -</w:t>
          </w:r>
          <w:r w:rsidRPr="002953AC">
            <w:rPr>
              <w:sz w:val="14"/>
              <w:szCs w:val="14"/>
            </w:rPr>
            <w:t xml:space="preserve"> Edifíc</w:t>
          </w:r>
          <w:r>
            <w:rPr>
              <w:sz w:val="14"/>
              <w:szCs w:val="14"/>
            </w:rPr>
            <w:t>io Central - Rio Pacaás Novos, no 2º piso, Avenida Farquar s/nº - Bairro Pedrinhas</w:t>
          </w:r>
        </w:p>
        <w:p w:rsidR="00DD7A23" w:rsidRPr="00D87CEF" w:rsidRDefault="00DD7A23" w:rsidP="00463C90">
          <w:pPr>
            <w:pStyle w:val="Rodap"/>
            <w:tabs>
              <w:tab w:val="clear" w:pos="4419"/>
            </w:tabs>
            <w:jc w:val="center"/>
            <w:rPr>
              <w:sz w:val="14"/>
              <w:szCs w:val="14"/>
            </w:rPr>
          </w:pPr>
          <w:r w:rsidRPr="001479C0">
            <w:rPr>
              <w:sz w:val="14"/>
              <w:szCs w:val="14"/>
            </w:rPr>
            <w:t xml:space="preserve">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p>
      </w:tc>
    </w:tr>
  </w:tbl>
  <w:p w:rsidR="00DD7A23" w:rsidRDefault="00DD7A2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A23" w:rsidRDefault="00DD7A23" w:rsidP="007908FF">
      <w:r>
        <w:separator/>
      </w:r>
    </w:p>
  </w:footnote>
  <w:footnote w:type="continuationSeparator" w:id="1">
    <w:p w:rsidR="00DD7A23" w:rsidRDefault="00DD7A23" w:rsidP="007908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A23" w:rsidRPr="005A4B02" w:rsidRDefault="00DD7A23" w:rsidP="007908FF">
    <w:pPr>
      <w:pStyle w:val="Cabealho"/>
      <w:jc w:val="center"/>
    </w:pPr>
    <w:r>
      <w:rPr>
        <w:noProof/>
      </w:rPr>
      <w:drawing>
        <wp:inline distT="0" distB="0" distL="0" distR="0">
          <wp:extent cx="1987550" cy="65976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659765"/>
                  </a:xfrm>
                  <a:prstGeom prst="rect">
                    <a:avLst/>
                  </a:prstGeom>
                  <a:noFill/>
                  <a:ln w="9525">
                    <a:noFill/>
                    <a:miter lim="800000"/>
                    <a:headEnd/>
                    <a:tailEnd/>
                  </a:ln>
                </pic:spPr>
              </pic:pic>
            </a:graphicData>
          </a:graphic>
        </wp:inline>
      </w:drawing>
    </w:r>
  </w:p>
  <w:p w:rsidR="00DD7A23" w:rsidRPr="005A4B02" w:rsidRDefault="00DD7A23" w:rsidP="007908FF">
    <w:pPr>
      <w:pStyle w:val="Cabealho"/>
      <w:spacing w:before="100" w:after="100"/>
      <w:contextualSpacing/>
      <w:jc w:val="center"/>
    </w:pPr>
    <w:r w:rsidRPr="005A4B02">
      <w:t>SUPERINTENDÊNCIA ESTADUAL DE LICITAÇÕES - SUPEL</w:t>
    </w:r>
  </w:p>
  <w:p w:rsidR="00DD7A23" w:rsidRPr="005A4B02" w:rsidRDefault="00DD7A23" w:rsidP="007908FF">
    <w:pPr>
      <w:pStyle w:val="Cabealho"/>
      <w:spacing w:before="100" w:after="100"/>
      <w:contextualSpacing/>
      <w:jc w:val="center"/>
    </w:pPr>
    <w:r w:rsidRPr="005A4B02">
      <w:t xml:space="preserve">Complexo Rio Madeira - Ed. </w:t>
    </w:r>
    <w:r>
      <w:t>Central</w:t>
    </w:r>
    <w:r w:rsidRPr="005A4B02">
      <w:t xml:space="preserve"> -  Rio </w:t>
    </w:r>
    <w:r>
      <w:t>Pacaás Novos</w:t>
    </w:r>
    <w:r w:rsidRPr="005A4B02">
      <w:t xml:space="preserve"> </w:t>
    </w:r>
    <w:r>
      <w:t>2</w:t>
    </w:r>
    <w:r w:rsidRPr="005A4B02">
      <w:t>º Andar</w:t>
    </w:r>
  </w:p>
  <w:p w:rsidR="00DD7A23" w:rsidRPr="005A4B02" w:rsidRDefault="00DD7A23" w:rsidP="007908FF">
    <w:pPr>
      <w:pStyle w:val="Cabealho"/>
      <w:spacing w:before="100" w:after="100"/>
      <w:contextualSpacing/>
      <w:jc w:val="center"/>
    </w:pPr>
    <w:r w:rsidRPr="005A4B02">
      <w:t>Porto velho, Rondônia.</w:t>
    </w:r>
  </w:p>
  <w:p w:rsidR="00DD7A23" w:rsidRDefault="00DD7A23" w:rsidP="007908FF">
    <w:pPr>
      <w:pStyle w:val="Cabealho"/>
      <w:tabs>
        <w:tab w:val="clear" w:pos="4419"/>
        <w:tab w:val="clear" w:pos="8838"/>
        <w:tab w:val="left" w:pos="5297"/>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7908FF"/>
    <w:rsid w:val="00043A41"/>
    <w:rsid w:val="000D56BF"/>
    <w:rsid w:val="001269E5"/>
    <w:rsid w:val="00191226"/>
    <w:rsid w:val="00193C3E"/>
    <w:rsid w:val="00463B3A"/>
    <w:rsid w:val="00463C90"/>
    <w:rsid w:val="005266B2"/>
    <w:rsid w:val="0058370A"/>
    <w:rsid w:val="005A324F"/>
    <w:rsid w:val="00607D35"/>
    <w:rsid w:val="00656702"/>
    <w:rsid w:val="006629B9"/>
    <w:rsid w:val="00752056"/>
    <w:rsid w:val="00766B57"/>
    <w:rsid w:val="007908FF"/>
    <w:rsid w:val="007948BD"/>
    <w:rsid w:val="00816A15"/>
    <w:rsid w:val="00831B29"/>
    <w:rsid w:val="008C6F43"/>
    <w:rsid w:val="009B5B2A"/>
    <w:rsid w:val="00A33B70"/>
    <w:rsid w:val="00AF3114"/>
    <w:rsid w:val="00AF686E"/>
    <w:rsid w:val="00B13D9F"/>
    <w:rsid w:val="00B41AED"/>
    <w:rsid w:val="00C94242"/>
    <w:rsid w:val="00C9647A"/>
    <w:rsid w:val="00D67FDA"/>
    <w:rsid w:val="00DB471E"/>
    <w:rsid w:val="00DD7A23"/>
    <w:rsid w:val="00F17A8B"/>
    <w:rsid w:val="00F20746"/>
    <w:rsid w:val="00F307F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8FF"/>
    <w:pPr>
      <w:spacing w:after="0" w:line="240" w:lineRule="auto"/>
    </w:pPr>
    <w:rPr>
      <w:rFonts w:ascii="Times New Roman" w:eastAsia="Times New Roman" w:hAnsi="Times New Roman" w:cs="Times New Roman"/>
      <w:sz w:val="20"/>
      <w:szCs w:val="20"/>
      <w:lang w:eastAsia="pt-BR"/>
    </w:rPr>
  </w:style>
  <w:style w:type="paragraph" w:styleId="Ttulo2">
    <w:name w:val="heading 2"/>
    <w:aliases w:val="Item"/>
    <w:basedOn w:val="Normal"/>
    <w:next w:val="Normal"/>
    <w:link w:val="Ttulo2Char"/>
    <w:qFormat/>
    <w:rsid w:val="009B5B2A"/>
    <w:pPr>
      <w:keepNext/>
      <w:jc w:val="center"/>
      <w:outlineLvl w:val="1"/>
    </w:pPr>
    <w:rPr>
      <w:b/>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foote,Heading 1a,encabezado,Char1,Char1 Char Char,Char1 Char Char Char,Cabeçalho1,Char1 Char Char2,Char1 Char Char3,Char5 Char"/>
    <w:basedOn w:val="Normal"/>
    <w:link w:val="CabealhoChar"/>
    <w:uiPriority w:val="99"/>
    <w:rsid w:val="007908FF"/>
    <w:pPr>
      <w:tabs>
        <w:tab w:val="center" w:pos="4419"/>
        <w:tab w:val="right" w:pos="8838"/>
      </w:tabs>
    </w:pPr>
  </w:style>
  <w:style w:type="character" w:customStyle="1" w:styleId="CabealhoChar">
    <w:name w:val="Cabeçalho Char"/>
    <w:aliases w:val="hd Char,he Char,Header Char Char,Cabeçalho superior Char,Char Char Char Char Char Char Char Char, Char Char Char Char Char Char Char Char,foote Char,Heading 1a Char,encabezado Char,Char1 Char,Char1 Char Char Char1,Cabeçalho1 Char"/>
    <w:basedOn w:val="Fontepargpadro"/>
    <w:link w:val="Cabealho"/>
    <w:uiPriority w:val="99"/>
    <w:rsid w:val="007908FF"/>
    <w:rPr>
      <w:rFonts w:ascii="Times New Roman" w:eastAsia="Times New Roman" w:hAnsi="Times New Roman" w:cs="Times New Roman"/>
      <w:sz w:val="20"/>
      <w:szCs w:val="20"/>
      <w:lang w:eastAsia="pt-BR"/>
    </w:rPr>
  </w:style>
  <w:style w:type="paragraph" w:styleId="Rodap">
    <w:name w:val="footer"/>
    <w:aliases w:val=" Char,Char,Char Char Char Char Char,Char Char Char Char,Char Char Char Char Char Char Char Char Char Char Char,Char Char Char Char Char Char Char1,Char Char Char1,Char Char Cha"/>
    <w:basedOn w:val="Normal"/>
    <w:link w:val="RodapChar"/>
    <w:uiPriority w:val="99"/>
    <w:rsid w:val="007908FF"/>
    <w:pPr>
      <w:tabs>
        <w:tab w:val="center" w:pos="4419"/>
        <w:tab w:val="right" w:pos="8838"/>
      </w:tabs>
    </w:pPr>
  </w:style>
  <w:style w:type="character" w:customStyle="1" w:styleId="RodapChar">
    <w:name w:val="Rodapé Char"/>
    <w:aliases w:val=" Char Char,Char Char,Char Char Char Char Char Char,Char Char Char Char Char1,Char Char Char Char Char Char Char Char Char Char Char Char,Char Char Char Char Char Char Char1 Char,Char Char Char1 Char,Char Char Cha Char"/>
    <w:basedOn w:val="Fontepargpadro"/>
    <w:link w:val="Rodap"/>
    <w:uiPriority w:val="99"/>
    <w:rsid w:val="007908FF"/>
    <w:rPr>
      <w:rFonts w:ascii="Times New Roman" w:eastAsia="Times New Roman" w:hAnsi="Times New Roman" w:cs="Times New Roman"/>
      <w:sz w:val="20"/>
      <w:szCs w:val="20"/>
      <w:lang w:eastAsia="pt-BR"/>
    </w:rPr>
  </w:style>
  <w:style w:type="paragraph" w:styleId="Ttulo">
    <w:name w:val="Title"/>
    <w:basedOn w:val="Normal"/>
    <w:link w:val="TtuloChar"/>
    <w:uiPriority w:val="99"/>
    <w:qFormat/>
    <w:rsid w:val="007908FF"/>
    <w:pPr>
      <w:widowControl w:val="0"/>
      <w:jc w:val="center"/>
    </w:pPr>
    <w:rPr>
      <w:rFonts w:ascii="Utah" w:hAnsi="Utah"/>
      <w:b/>
      <w:snapToGrid w:val="0"/>
      <w:sz w:val="24"/>
    </w:rPr>
  </w:style>
  <w:style w:type="character" w:customStyle="1" w:styleId="TtuloChar">
    <w:name w:val="Título Char"/>
    <w:basedOn w:val="Fontepargpadro"/>
    <w:link w:val="Ttulo"/>
    <w:uiPriority w:val="99"/>
    <w:rsid w:val="007908FF"/>
    <w:rPr>
      <w:rFonts w:ascii="Utah" w:eastAsia="Times New Roman" w:hAnsi="Utah" w:cs="Times New Roman"/>
      <w:b/>
      <w:snapToGrid w:val="0"/>
      <w:sz w:val="24"/>
      <w:szCs w:val="20"/>
      <w:lang w:eastAsia="pt-BR"/>
    </w:rPr>
  </w:style>
  <w:style w:type="character" w:styleId="Hyperlink">
    <w:name w:val="Hyperlink"/>
    <w:uiPriority w:val="99"/>
    <w:rsid w:val="007908FF"/>
    <w:rPr>
      <w:color w:val="0000FF"/>
      <w:u w:val="single"/>
    </w:rPr>
  </w:style>
  <w:style w:type="paragraph" w:customStyle="1" w:styleId="Corpodetexto21">
    <w:name w:val="Corpo de texto 21"/>
    <w:basedOn w:val="Normal"/>
    <w:link w:val="Corpodetexto21Char"/>
    <w:rsid w:val="007908FF"/>
    <w:pPr>
      <w:suppressAutoHyphens/>
      <w:spacing w:after="120" w:line="480" w:lineRule="auto"/>
    </w:pPr>
    <w:rPr>
      <w:sz w:val="24"/>
      <w:szCs w:val="24"/>
      <w:lang w:eastAsia="zh-CN"/>
    </w:rPr>
  </w:style>
  <w:style w:type="character" w:customStyle="1" w:styleId="Corpodetexto21Char">
    <w:name w:val="Corpo de texto 21 Char"/>
    <w:link w:val="Corpodetexto21"/>
    <w:rsid w:val="007908FF"/>
    <w:rPr>
      <w:rFonts w:ascii="Times New Roman" w:eastAsia="Times New Roman" w:hAnsi="Times New Roman" w:cs="Times New Roman"/>
      <w:sz w:val="24"/>
      <w:szCs w:val="24"/>
      <w:lang w:eastAsia="zh-CN"/>
    </w:rPr>
  </w:style>
  <w:style w:type="paragraph" w:styleId="Textodebalo">
    <w:name w:val="Balloon Text"/>
    <w:basedOn w:val="Normal"/>
    <w:link w:val="TextodebaloChar"/>
    <w:uiPriority w:val="99"/>
    <w:semiHidden/>
    <w:unhideWhenUsed/>
    <w:rsid w:val="007908FF"/>
    <w:rPr>
      <w:rFonts w:ascii="Tahoma" w:hAnsi="Tahoma" w:cs="Tahoma"/>
      <w:sz w:val="16"/>
      <w:szCs w:val="16"/>
    </w:rPr>
  </w:style>
  <w:style w:type="character" w:customStyle="1" w:styleId="TextodebaloChar">
    <w:name w:val="Texto de balão Char"/>
    <w:basedOn w:val="Fontepargpadro"/>
    <w:link w:val="Textodebalo"/>
    <w:uiPriority w:val="99"/>
    <w:semiHidden/>
    <w:rsid w:val="007908FF"/>
    <w:rPr>
      <w:rFonts w:ascii="Tahoma" w:eastAsia="Times New Roman" w:hAnsi="Tahoma" w:cs="Tahoma"/>
      <w:sz w:val="16"/>
      <w:szCs w:val="16"/>
      <w:lang w:eastAsia="pt-BR"/>
    </w:rPr>
  </w:style>
  <w:style w:type="character" w:customStyle="1" w:styleId="st">
    <w:name w:val="st"/>
    <w:basedOn w:val="Fontepargpadro"/>
    <w:rsid w:val="007908FF"/>
  </w:style>
  <w:style w:type="character" w:customStyle="1" w:styleId="Ttulo2Char">
    <w:name w:val="Título 2 Char"/>
    <w:aliases w:val="Item Char"/>
    <w:basedOn w:val="Fontepargpadro"/>
    <w:link w:val="Ttulo2"/>
    <w:rsid w:val="009B5B2A"/>
    <w:rPr>
      <w:rFonts w:ascii="Times New Roman" w:eastAsia="Times New Roman" w:hAnsi="Times New Roman" w:cs="Times New Roman"/>
      <w:b/>
      <w:sz w:val="20"/>
      <w:szCs w:val="20"/>
      <w:lang w:eastAsia="pt-BR"/>
    </w:rPr>
  </w:style>
  <w:style w:type="paragraph" w:styleId="Recuodecorpodetexto2">
    <w:name w:val="Body Text Indent 2"/>
    <w:basedOn w:val="Normal"/>
    <w:link w:val="Recuodecorpodetexto2Char"/>
    <w:uiPriority w:val="99"/>
    <w:rsid w:val="00F20746"/>
    <w:pPr>
      <w:ind w:firstLine="1418"/>
      <w:jc w:val="both"/>
    </w:pPr>
    <w:rPr>
      <w:sz w:val="24"/>
    </w:rPr>
  </w:style>
  <w:style w:type="character" w:customStyle="1" w:styleId="Recuodecorpodetexto2Char">
    <w:name w:val="Recuo de corpo de texto 2 Char"/>
    <w:basedOn w:val="Fontepargpadro"/>
    <w:link w:val="Recuodecorpodetexto2"/>
    <w:uiPriority w:val="99"/>
    <w:rsid w:val="00F20746"/>
    <w:rPr>
      <w:rFonts w:ascii="Times New Roman" w:eastAsia="Times New Roman" w:hAnsi="Times New Roman" w:cs="Times New Roman"/>
      <w:sz w:val="24"/>
      <w:szCs w:val="20"/>
      <w:lang w:eastAsia="pt-BR"/>
    </w:rPr>
  </w:style>
  <w:style w:type="paragraph" w:styleId="Corpodetexto2">
    <w:name w:val="Body Text 2"/>
    <w:basedOn w:val="Normal"/>
    <w:link w:val="Corpodetexto2Char"/>
    <w:uiPriority w:val="99"/>
    <w:semiHidden/>
    <w:unhideWhenUsed/>
    <w:rsid w:val="008C6F43"/>
    <w:pPr>
      <w:spacing w:after="120" w:line="480" w:lineRule="auto"/>
    </w:pPr>
  </w:style>
  <w:style w:type="character" w:customStyle="1" w:styleId="Corpodetexto2Char">
    <w:name w:val="Corpo de texto 2 Char"/>
    <w:basedOn w:val="Fontepargpadro"/>
    <w:link w:val="Corpodetexto2"/>
    <w:uiPriority w:val="99"/>
    <w:semiHidden/>
    <w:rsid w:val="008C6F43"/>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net.gov.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B2803-866C-45EF-9022-AADA67237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1152</Words>
  <Characters>6226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01349675261</dc:creator>
  <cp:lastModifiedBy>21981027220</cp:lastModifiedBy>
  <cp:revision>12</cp:revision>
  <cp:lastPrinted>2015-10-15T12:58:00Z</cp:lastPrinted>
  <dcterms:created xsi:type="dcterms:W3CDTF">2015-10-15T12:56:00Z</dcterms:created>
  <dcterms:modified xsi:type="dcterms:W3CDTF">2017-08-09T15:57:00Z</dcterms:modified>
</cp:coreProperties>
</file>