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304245">
        <w:rPr>
          <w:rFonts w:ascii="Arial" w:hAnsi="Arial" w:cs="Arial"/>
          <w:sz w:val="16"/>
          <w:szCs w:val="16"/>
        </w:rPr>
        <w:t>172</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304245">
        <w:rPr>
          <w:rFonts w:ascii="Arial" w:hAnsi="Arial" w:cs="Arial"/>
          <w:bCs/>
          <w:sz w:val="16"/>
          <w:szCs w:val="16"/>
        </w:rPr>
        <w:t>134</w:t>
      </w:r>
      <w:r w:rsidR="00E41C2D" w:rsidRPr="00DF4AF8">
        <w:rPr>
          <w:rFonts w:ascii="Arial" w:hAnsi="Arial" w:cs="Arial"/>
          <w:bCs/>
          <w:sz w:val="16"/>
          <w:szCs w:val="16"/>
        </w:rPr>
        <w:t>/201</w:t>
      </w:r>
      <w:r w:rsidR="00304245">
        <w:rPr>
          <w:rFonts w:ascii="Arial" w:hAnsi="Arial" w:cs="Arial"/>
          <w:bCs/>
          <w:sz w:val="16"/>
          <w:szCs w:val="16"/>
        </w:rPr>
        <w:t>7</w:t>
      </w:r>
    </w:p>
    <w:p w:rsidR="000F74A8" w:rsidRPr="00E85024" w:rsidRDefault="009D2314" w:rsidP="009D2314">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w:t>
      </w:r>
      <w:r w:rsidR="00304245">
        <w:rPr>
          <w:rFonts w:ascii="Arial" w:hAnsi="Arial" w:cs="Arial"/>
          <w:noProof/>
          <w:sz w:val="16"/>
          <w:szCs w:val="16"/>
        </w:rPr>
        <w:t>1107</w:t>
      </w:r>
      <w:r w:rsidR="00DF4AF8">
        <w:rPr>
          <w:rFonts w:ascii="Arial" w:hAnsi="Arial" w:cs="Arial"/>
          <w:noProof/>
          <w:sz w:val="16"/>
          <w:szCs w:val="16"/>
        </w:rPr>
        <w:t>.00</w:t>
      </w:r>
      <w:r w:rsidR="00304245">
        <w:rPr>
          <w:rFonts w:ascii="Arial" w:hAnsi="Arial" w:cs="Arial"/>
          <w:noProof/>
          <w:sz w:val="16"/>
          <w:szCs w:val="16"/>
        </w:rPr>
        <w:t>421</w:t>
      </w:r>
      <w:r w:rsidR="00E85024" w:rsidRPr="00E85024">
        <w:rPr>
          <w:rFonts w:ascii="Arial" w:hAnsi="Arial" w:cs="Arial"/>
          <w:noProof/>
          <w:sz w:val="16"/>
          <w:szCs w:val="16"/>
        </w:rPr>
        <w:t>-00/201</w:t>
      </w:r>
      <w:r w:rsidR="00304245">
        <w:rPr>
          <w:rFonts w:ascii="Arial" w:hAnsi="Arial" w:cs="Arial"/>
          <w:noProof/>
          <w:sz w:val="16"/>
          <w:szCs w:val="16"/>
        </w:rPr>
        <w:t>6</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 xml:space="preserve">O </w:t>
      </w:r>
      <w:r w:rsidR="00DF4AF8" w:rsidRPr="00DF4AF8">
        <w:rPr>
          <w:rFonts w:ascii="Arial" w:hAnsi="Arial" w:cs="Arial"/>
          <w:color w:val="000000"/>
          <w:sz w:val="16"/>
          <w:szCs w:val="16"/>
        </w:rPr>
        <w:t xml:space="preserve">para futura </w:t>
      </w:r>
      <w:r w:rsidR="00304245" w:rsidRPr="00304245">
        <w:rPr>
          <w:rFonts w:ascii="Arial" w:hAnsi="Arial" w:cs="Arial"/>
          <w:sz w:val="16"/>
          <w:szCs w:val="16"/>
        </w:rPr>
        <w:t xml:space="preserve">contratação de empresa especializada para manutenção preventiva e corretiva da rede de Fibras Ópticas da </w:t>
      </w:r>
      <w:proofErr w:type="spellStart"/>
      <w:r w:rsidR="00304245" w:rsidRPr="00304245">
        <w:rPr>
          <w:rFonts w:ascii="Arial" w:hAnsi="Arial" w:cs="Arial"/>
          <w:sz w:val="16"/>
          <w:szCs w:val="16"/>
        </w:rPr>
        <w:t>Infovia</w:t>
      </w:r>
      <w:proofErr w:type="spellEnd"/>
      <w:r w:rsidR="00304245" w:rsidRPr="00304245">
        <w:rPr>
          <w:rFonts w:ascii="Arial" w:hAnsi="Arial" w:cs="Arial"/>
          <w:sz w:val="16"/>
          <w:szCs w:val="16"/>
        </w:rPr>
        <w:t>, com o fornecimento de materiais, conforme especificações completas</w:t>
      </w:r>
      <w:r w:rsidR="00C93C3C" w:rsidRPr="00304245">
        <w:rPr>
          <w:rFonts w:ascii="Arial" w:hAnsi="Arial" w:cs="Arial"/>
          <w:sz w:val="16"/>
          <w:szCs w:val="16"/>
        </w:rPr>
        <w:t>, a pedido</w:t>
      </w:r>
      <w:r w:rsidR="00C93C3C" w:rsidRPr="00DF4AF8">
        <w:rPr>
          <w:rFonts w:ascii="Arial" w:hAnsi="Arial" w:cs="Arial"/>
          <w:color w:val="000000"/>
          <w:sz w:val="16"/>
          <w:szCs w:val="16"/>
        </w:rPr>
        <w:t xml:space="preserve"> da </w:t>
      </w:r>
      <w:r w:rsidR="00DF4AF8" w:rsidRPr="00DF4AF8">
        <w:rPr>
          <w:rFonts w:ascii="Arial" w:hAnsi="Arial" w:cs="Arial"/>
          <w:color w:val="000000"/>
          <w:sz w:val="16"/>
          <w:szCs w:val="16"/>
        </w:rPr>
        <w:t>Superintendência</w:t>
      </w:r>
      <w:proofErr w:type="gramStart"/>
      <w:r w:rsidR="00DF4AF8" w:rsidRPr="00DF4AF8">
        <w:rPr>
          <w:rFonts w:ascii="Arial" w:hAnsi="Arial" w:cs="Arial"/>
          <w:color w:val="000000"/>
          <w:sz w:val="16"/>
          <w:szCs w:val="16"/>
        </w:rPr>
        <w:t xml:space="preserve"> </w:t>
      </w:r>
      <w:r w:rsidR="0063676F" w:rsidRPr="00DF4AF8">
        <w:rPr>
          <w:rFonts w:ascii="Arial" w:hAnsi="Arial" w:cs="Arial"/>
          <w:color w:val="000000"/>
          <w:sz w:val="16"/>
          <w:szCs w:val="16"/>
        </w:rPr>
        <w:t xml:space="preserve"> </w:t>
      </w:r>
      <w:proofErr w:type="gramEnd"/>
      <w:r w:rsidR="0063676F" w:rsidRPr="00DF4AF8">
        <w:rPr>
          <w:rFonts w:ascii="Arial" w:hAnsi="Arial" w:cs="Arial"/>
          <w:color w:val="000000"/>
          <w:sz w:val="16"/>
          <w:szCs w:val="16"/>
        </w:rPr>
        <w:t>Estad</w:t>
      </w:r>
      <w:r w:rsidR="00DF4AF8" w:rsidRPr="00DF4AF8">
        <w:rPr>
          <w:rFonts w:ascii="Arial" w:hAnsi="Arial" w:cs="Arial"/>
          <w:color w:val="000000"/>
          <w:sz w:val="16"/>
          <w:szCs w:val="16"/>
        </w:rPr>
        <w:t xml:space="preserve">ual de Assuntos Estratégico - </w:t>
      </w:r>
      <w:r w:rsidR="0063676F" w:rsidRPr="00DF4AF8">
        <w:rPr>
          <w:rFonts w:ascii="Arial" w:hAnsi="Arial" w:cs="Arial"/>
          <w:color w:val="000000"/>
          <w:sz w:val="16"/>
          <w:szCs w:val="16"/>
        </w:rPr>
        <w:t>SEA</w:t>
      </w:r>
      <w:r w:rsidR="00DF4AF8" w:rsidRPr="00DF4AF8">
        <w:rPr>
          <w:rFonts w:ascii="Arial" w:hAnsi="Arial" w:cs="Arial"/>
          <w:color w:val="000000"/>
          <w:sz w:val="16"/>
          <w:szCs w:val="16"/>
        </w:rPr>
        <w:t>E</w:t>
      </w:r>
      <w:r w:rsidR="0063676F" w:rsidRPr="00DF4AF8">
        <w:rPr>
          <w:rFonts w:ascii="Arial" w:hAnsi="Arial" w:cs="Arial"/>
          <w:color w:val="000000"/>
          <w:sz w:val="16"/>
          <w:szCs w:val="16"/>
        </w:rPr>
        <w:t>/RO</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Default="002E300A" w:rsidP="008C7613">
      <w:pPr>
        <w:jc w:val="both"/>
        <w:rPr>
          <w:rFonts w:ascii="Arial" w:hAnsi="Arial" w:cs="Arial"/>
          <w:color w:val="000000"/>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F4AF8" w:rsidRPr="00DF4AF8">
        <w:rPr>
          <w:rFonts w:ascii="Arial" w:hAnsi="Arial" w:cs="Arial"/>
          <w:color w:val="000000"/>
          <w:sz w:val="16"/>
          <w:szCs w:val="16"/>
        </w:rPr>
        <w:t xml:space="preserve">para futura </w:t>
      </w:r>
      <w:r w:rsidR="00304245" w:rsidRPr="00304245">
        <w:rPr>
          <w:rFonts w:ascii="Arial" w:hAnsi="Arial" w:cs="Arial"/>
          <w:sz w:val="16"/>
          <w:szCs w:val="16"/>
        </w:rPr>
        <w:t xml:space="preserve">contratação de empresa especializada para manutenção preventiva e corretiva da rede de Fibras Ópticas da </w:t>
      </w:r>
      <w:proofErr w:type="spellStart"/>
      <w:r w:rsidR="00304245" w:rsidRPr="00304245">
        <w:rPr>
          <w:rFonts w:ascii="Arial" w:hAnsi="Arial" w:cs="Arial"/>
          <w:sz w:val="16"/>
          <w:szCs w:val="16"/>
        </w:rPr>
        <w:t>Infovia</w:t>
      </w:r>
      <w:proofErr w:type="spellEnd"/>
      <w:r w:rsidR="00304245" w:rsidRPr="00304245">
        <w:rPr>
          <w:rFonts w:ascii="Arial" w:hAnsi="Arial" w:cs="Arial"/>
          <w:sz w:val="16"/>
          <w:szCs w:val="16"/>
        </w:rPr>
        <w:t>, com o fornecimento de materiais, conforme especificações completas, a pedido</w:t>
      </w:r>
      <w:r w:rsidR="00304245" w:rsidRPr="00DF4AF8">
        <w:rPr>
          <w:rFonts w:ascii="Arial" w:hAnsi="Arial" w:cs="Arial"/>
          <w:color w:val="000000"/>
          <w:sz w:val="16"/>
          <w:szCs w:val="16"/>
        </w:rPr>
        <w:t xml:space="preserve"> da Superintendência</w:t>
      </w:r>
      <w:proofErr w:type="gramStart"/>
      <w:r w:rsidR="00304245" w:rsidRPr="00DF4AF8">
        <w:rPr>
          <w:rFonts w:ascii="Arial" w:hAnsi="Arial" w:cs="Arial"/>
          <w:color w:val="000000"/>
          <w:sz w:val="16"/>
          <w:szCs w:val="16"/>
        </w:rPr>
        <w:t xml:space="preserve">  </w:t>
      </w:r>
      <w:proofErr w:type="gramEnd"/>
      <w:r w:rsidR="00304245" w:rsidRPr="00DF4AF8">
        <w:rPr>
          <w:rFonts w:ascii="Arial" w:hAnsi="Arial" w:cs="Arial"/>
          <w:color w:val="000000"/>
          <w:sz w:val="16"/>
          <w:szCs w:val="16"/>
        </w:rPr>
        <w:t>Estadual de Assuntos Estratégico - SEAE/RO</w:t>
      </w:r>
      <w:r w:rsidR="00DF4AF8">
        <w:rPr>
          <w:rFonts w:ascii="Arial" w:hAnsi="Arial" w:cs="Arial"/>
          <w:color w:val="000000"/>
          <w:sz w:val="16"/>
          <w:szCs w:val="16"/>
        </w:rPr>
        <w:t>.</w:t>
      </w:r>
    </w:p>
    <w:p w:rsidR="00DF4AF8" w:rsidRDefault="00DF4AF8" w:rsidP="008C7613">
      <w:pPr>
        <w:jc w:val="both"/>
        <w:rPr>
          <w:rFonts w:ascii="Arial" w:hAnsi="Arial" w:cs="Arial"/>
          <w:kern w:val="36"/>
          <w:sz w:val="16"/>
          <w:szCs w:val="16"/>
        </w:rPr>
      </w:pPr>
    </w:p>
    <w:p w:rsidR="009055CB" w:rsidRPr="0093086D" w:rsidRDefault="009055CB"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304245" w:rsidRPr="00725617">
        <w:rPr>
          <w:rFonts w:ascii="Arial" w:hAnsi="Arial" w:cs="Arial"/>
          <w:b/>
          <w:sz w:val="16"/>
          <w:szCs w:val="16"/>
        </w:rPr>
        <w:t>PRAZO E CONDIÇÕES DA EXECUÇÃO DO SERVIÇO</w:t>
      </w:r>
      <w:r w:rsidR="009055CB" w:rsidRPr="00725617">
        <w:rPr>
          <w:rFonts w:ascii="Arial" w:hAnsi="Arial" w:cs="Arial"/>
          <w:b/>
          <w:bCs/>
          <w:sz w:val="16"/>
          <w:szCs w:val="16"/>
        </w:rPr>
        <w:t>:</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DF4AF8" w:rsidRDefault="00DF4AF8" w:rsidP="00DF4AF8">
      <w:pPr>
        <w:pStyle w:val="Corpodetexto3"/>
        <w:tabs>
          <w:tab w:val="left" w:pos="900"/>
        </w:tabs>
        <w:ind w:left="360" w:right="47"/>
        <w:rPr>
          <w:rFonts w:ascii="Arial" w:hAnsi="Arial" w:cs="Arial"/>
          <w:sz w:val="16"/>
          <w:szCs w:val="16"/>
        </w:rPr>
      </w:pPr>
    </w:p>
    <w:p w:rsidR="00DF4AF8" w:rsidRPr="00725617" w:rsidRDefault="00DF4AF8" w:rsidP="00DF4AF8">
      <w:pPr>
        <w:pStyle w:val="Corpodetexto3"/>
        <w:numPr>
          <w:ilvl w:val="1"/>
          <w:numId w:val="2"/>
        </w:numPr>
        <w:tabs>
          <w:tab w:val="left" w:pos="900"/>
        </w:tabs>
        <w:ind w:right="47"/>
        <w:rPr>
          <w:rFonts w:ascii="Arial" w:hAnsi="Arial" w:cs="Arial"/>
          <w:sz w:val="16"/>
          <w:szCs w:val="16"/>
        </w:rPr>
      </w:pPr>
      <w:r w:rsidRPr="00725617">
        <w:rPr>
          <w:rFonts w:ascii="Arial" w:hAnsi="Arial" w:cs="Arial"/>
          <w:b/>
          <w:sz w:val="16"/>
          <w:szCs w:val="16"/>
        </w:rPr>
        <w:t xml:space="preserve">DO PRAZO </w:t>
      </w:r>
      <w:r w:rsidR="00304245" w:rsidRPr="00725617">
        <w:rPr>
          <w:rFonts w:ascii="Arial" w:hAnsi="Arial" w:cs="Arial"/>
          <w:b/>
          <w:sz w:val="16"/>
          <w:szCs w:val="16"/>
        </w:rPr>
        <w:t>PARA EXECUÇÃO</w:t>
      </w:r>
      <w:r w:rsidRPr="00725617">
        <w:rPr>
          <w:rFonts w:ascii="Arial" w:hAnsi="Arial" w:cs="Arial"/>
          <w:b/>
          <w:sz w:val="16"/>
          <w:szCs w:val="16"/>
        </w:rPr>
        <w:t>:</w:t>
      </w:r>
      <w:r w:rsidRPr="00725617">
        <w:rPr>
          <w:rFonts w:ascii="Arial" w:hAnsi="Arial" w:cs="Arial"/>
          <w:sz w:val="16"/>
          <w:szCs w:val="16"/>
        </w:rPr>
        <w:t xml:space="preserve"> </w:t>
      </w:r>
      <w:r w:rsidR="00304245" w:rsidRPr="00725617">
        <w:rPr>
          <w:rFonts w:ascii="Arial" w:hAnsi="Arial" w:cs="Arial"/>
          <w:sz w:val="16"/>
          <w:szCs w:val="16"/>
        </w:rPr>
        <w:t xml:space="preserve">O </w:t>
      </w:r>
      <w:r w:rsidR="00304245" w:rsidRPr="00725617">
        <w:rPr>
          <w:rFonts w:ascii="Arial" w:hAnsi="Arial" w:cs="Arial"/>
          <w:b/>
          <w:sz w:val="16"/>
          <w:szCs w:val="16"/>
        </w:rPr>
        <w:t xml:space="preserve">prazo para a execução do serviço será de até 30 (trinta) dias, </w:t>
      </w:r>
      <w:r w:rsidR="00304245" w:rsidRPr="00725617">
        <w:rPr>
          <w:rFonts w:ascii="Arial" w:hAnsi="Arial" w:cs="Arial"/>
          <w:sz w:val="16"/>
          <w:szCs w:val="16"/>
        </w:rPr>
        <w:t>a contar da assinatura do contrato, disponibilizando suporte e garantia durante sua vigência</w:t>
      </w:r>
      <w:r w:rsidR="00CE42C7" w:rsidRPr="00725617">
        <w:rPr>
          <w:rFonts w:ascii="Arial" w:hAnsi="Arial" w:cs="Arial"/>
          <w:sz w:val="16"/>
          <w:szCs w:val="16"/>
        </w:rPr>
        <w:t>:</w:t>
      </w:r>
    </w:p>
    <w:p w:rsidR="00CE42C7" w:rsidRPr="00725617" w:rsidRDefault="00CE42C7" w:rsidP="00CE42C7">
      <w:pPr>
        <w:pStyle w:val="PargrafodaLista"/>
        <w:rPr>
          <w:rFonts w:ascii="Arial" w:hAnsi="Arial" w:cs="Arial"/>
          <w:sz w:val="16"/>
          <w:szCs w:val="16"/>
        </w:rPr>
      </w:pPr>
    </w:p>
    <w:p w:rsidR="002244EC" w:rsidRPr="002244EC"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CE42C7" w:rsidP="002244EC">
      <w:pPr>
        <w:pStyle w:val="PargrafodaLista"/>
        <w:numPr>
          <w:ilvl w:val="1"/>
          <w:numId w:val="37"/>
        </w:numPr>
        <w:tabs>
          <w:tab w:val="left" w:pos="567"/>
        </w:tabs>
        <w:spacing w:line="360" w:lineRule="auto"/>
        <w:ind w:left="360"/>
        <w:jc w:val="both"/>
        <w:rPr>
          <w:rFonts w:ascii="Arial" w:hAnsi="Arial" w:cs="Arial"/>
          <w:sz w:val="16"/>
          <w:szCs w:val="16"/>
        </w:rPr>
      </w:pPr>
      <w:r w:rsidRPr="002244EC">
        <w:rPr>
          <w:rFonts w:ascii="Arial" w:hAnsi="Arial" w:cs="Arial"/>
          <w:b/>
          <w:sz w:val="16"/>
          <w:szCs w:val="16"/>
        </w:rPr>
        <w:t>D</w:t>
      </w:r>
      <w:r w:rsidR="001B3696" w:rsidRPr="002244EC">
        <w:rPr>
          <w:rFonts w:ascii="Arial" w:hAnsi="Arial" w:cs="Arial"/>
          <w:b/>
          <w:sz w:val="16"/>
          <w:szCs w:val="16"/>
        </w:rPr>
        <w:t>AS</w:t>
      </w:r>
      <w:r w:rsidRPr="002244EC">
        <w:rPr>
          <w:rFonts w:ascii="Arial" w:hAnsi="Arial" w:cs="Arial"/>
          <w:b/>
          <w:sz w:val="16"/>
          <w:szCs w:val="16"/>
        </w:rPr>
        <w:t xml:space="preserve"> </w:t>
      </w:r>
      <w:r w:rsidR="001B3696" w:rsidRPr="002244EC">
        <w:rPr>
          <w:rFonts w:ascii="Arial" w:hAnsi="Arial" w:cs="Arial"/>
          <w:b/>
          <w:sz w:val="16"/>
          <w:szCs w:val="16"/>
        </w:rPr>
        <w:t>CONDIÇÕES DA EXECUÇÃO</w:t>
      </w:r>
      <w:r w:rsidR="00725617" w:rsidRPr="002244EC">
        <w:rPr>
          <w:rFonts w:ascii="Arial" w:hAnsi="Arial" w:cs="Arial"/>
          <w:b/>
          <w:sz w:val="16"/>
          <w:szCs w:val="16"/>
        </w:rPr>
        <w:t>:</w:t>
      </w:r>
      <w:r w:rsidR="001B3696" w:rsidRPr="002244EC">
        <w:rPr>
          <w:rFonts w:ascii="Arial" w:hAnsi="Arial" w:cs="Arial"/>
          <w:b/>
          <w:sz w:val="16"/>
          <w:szCs w:val="16"/>
        </w:rPr>
        <w:t xml:space="preserve"> </w:t>
      </w:r>
      <w:r w:rsidR="002244EC" w:rsidRPr="002244EC">
        <w:rPr>
          <w:rFonts w:ascii="Arial" w:hAnsi="Arial" w:cs="Arial"/>
          <w:color w:val="000000"/>
          <w:sz w:val="16"/>
          <w:szCs w:val="16"/>
        </w:rPr>
        <w:t>A convocação será realizada por telefone, pessoalmente ou via e-mail (informado pela adjudicatária em sua proposta), com aviso de recebimento, acompanhado do anexo da nota de empenho, se for o caso, para impressão, assinatura e devolução via postal, através do mesmo endereço eletrônico. A SEAE enviará as comunicações necessárias durante o fornecimento do objeto;</w:t>
      </w:r>
    </w:p>
    <w:p w:rsidR="002244EC" w:rsidRDefault="002244EC" w:rsidP="002244EC">
      <w:pPr>
        <w:pStyle w:val="PargrafodaLista"/>
        <w:numPr>
          <w:ilvl w:val="2"/>
          <w:numId w:val="37"/>
        </w:numPr>
        <w:tabs>
          <w:tab w:val="left" w:pos="567"/>
        </w:tabs>
        <w:spacing w:line="360" w:lineRule="auto"/>
        <w:ind w:left="1134"/>
        <w:jc w:val="both"/>
        <w:rPr>
          <w:rFonts w:ascii="Arial" w:hAnsi="Arial" w:cs="Arial"/>
          <w:sz w:val="16"/>
          <w:szCs w:val="16"/>
        </w:rPr>
      </w:pPr>
      <w:r w:rsidRPr="002244EC">
        <w:rPr>
          <w:rFonts w:ascii="Arial" w:hAnsi="Arial" w:cs="Arial"/>
          <w:sz w:val="16"/>
          <w:szCs w:val="16"/>
        </w:rPr>
        <w:lastRenderedPageBreak/>
        <w:t>A convocação para execução do serviço será feita através da Ordem de Serviço à Adjudicatária e assinatura do contrato;</w:t>
      </w:r>
    </w:p>
    <w:p w:rsidR="002244EC" w:rsidRDefault="002244EC" w:rsidP="002244EC">
      <w:pPr>
        <w:pStyle w:val="PargrafodaLista"/>
        <w:numPr>
          <w:ilvl w:val="2"/>
          <w:numId w:val="37"/>
        </w:numPr>
        <w:tabs>
          <w:tab w:val="left" w:pos="567"/>
        </w:tabs>
        <w:spacing w:line="360" w:lineRule="auto"/>
        <w:ind w:left="1134"/>
        <w:jc w:val="both"/>
        <w:rPr>
          <w:rFonts w:ascii="Arial" w:hAnsi="Arial" w:cs="Arial"/>
          <w:sz w:val="16"/>
          <w:szCs w:val="16"/>
        </w:rPr>
      </w:pPr>
      <w:r w:rsidRPr="002244EC">
        <w:rPr>
          <w:rFonts w:ascii="Arial" w:hAnsi="Arial" w:cs="Arial"/>
          <w:sz w:val="16"/>
          <w:szCs w:val="16"/>
        </w:rPr>
        <w:t>O serviço adquirido deverá ser realizado conforme quantidade e especificações constantes na Nota de Empenho ou outro documento equivalente, sendo que a inobservância desta condição implicará em recusa formal, com a aplicação das penalidades contratuais;</w:t>
      </w:r>
    </w:p>
    <w:p w:rsidR="002244EC" w:rsidRDefault="002244EC" w:rsidP="002244EC">
      <w:pPr>
        <w:pStyle w:val="PargrafodaLista"/>
        <w:numPr>
          <w:ilvl w:val="2"/>
          <w:numId w:val="37"/>
        </w:numPr>
        <w:tabs>
          <w:tab w:val="left" w:pos="567"/>
        </w:tabs>
        <w:spacing w:line="360" w:lineRule="auto"/>
        <w:ind w:left="1134"/>
        <w:jc w:val="both"/>
        <w:rPr>
          <w:rFonts w:ascii="Arial" w:hAnsi="Arial" w:cs="Arial"/>
          <w:sz w:val="16"/>
          <w:szCs w:val="16"/>
        </w:rPr>
      </w:pPr>
      <w:r w:rsidRPr="002244EC">
        <w:rPr>
          <w:rFonts w:ascii="Arial" w:hAnsi="Arial" w:cs="Arial"/>
          <w:sz w:val="16"/>
          <w:szCs w:val="16"/>
        </w:rPr>
        <w:t>O proponente vencedor obrigar-se-á fornecer todo o serviço, no local designado pela SEAE, sendo de sua inteira responsabilidade a reposição do mesmo, a qualquer tempo, nos casos em que eventualmente, venha a ser constatado como irregular ou desconforme;</w:t>
      </w:r>
    </w:p>
    <w:p w:rsidR="00CE42C7" w:rsidRPr="002244EC" w:rsidRDefault="002244EC" w:rsidP="002244EC">
      <w:pPr>
        <w:pStyle w:val="PargrafodaLista"/>
        <w:numPr>
          <w:ilvl w:val="2"/>
          <w:numId w:val="37"/>
        </w:numPr>
        <w:tabs>
          <w:tab w:val="left" w:pos="567"/>
        </w:tabs>
        <w:spacing w:line="360" w:lineRule="auto"/>
        <w:ind w:left="1134"/>
        <w:jc w:val="both"/>
        <w:rPr>
          <w:rFonts w:ascii="Arial" w:hAnsi="Arial" w:cs="Arial"/>
          <w:sz w:val="16"/>
          <w:szCs w:val="16"/>
        </w:rPr>
      </w:pPr>
      <w:r w:rsidRPr="002244EC">
        <w:rPr>
          <w:rFonts w:ascii="Arial" w:hAnsi="Arial" w:cs="Arial"/>
          <w:sz w:val="16"/>
          <w:szCs w:val="16"/>
        </w:rPr>
        <w:t xml:space="preserve">Qualquer solicitação feita à SEAE, referente à contratação, deverá ser encaminhada </w:t>
      </w:r>
      <w:r w:rsidRPr="002244EC">
        <w:rPr>
          <w:rFonts w:ascii="Arial" w:hAnsi="Arial" w:cs="Arial"/>
          <w:sz w:val="16"/>
          <w:szCs w:val="16"/>
          <w:u w:val="single"/>
        </w:rPr>
        <w:t>à Gerência Administrativa, no Centro Político Administrativo Palácio Rio Madeira -</w:t>
      </w:r>
      <w:proofErr w:type="gramStart"/>
      <w:r w:rsidRPr="002244EC">
        <w:rPr>
          <w:rFonts w:ascii="Arial" w:hAnsi="Arial" w:cs="Arial"/>
          <w:sz w:val="16"/>
          <w:szCs w:val="16"/>
          <w:u w:val="single"/>
        </w:rPr>
        <w:t xml:space="preserve">  </w:t>
      </w:r>
      <w:proofErr w:type="gramEnd"/>
      <w:r w:rsidRPr="002244EC">
        <w:rPr>
          <w:rFonts w:ascii="Arial" w:hAnsi="Arial" w:cs="Arial"/>
          <w:sz w:val="16"/>
          <w:szCs w:val="16"/>
          <w:u w:val="single"/>
        </w:rPr>
        <w:t xml:space="preserve">Edifício Rio </w:t>
      </w:r>
      <w:proofErr w:type="spellStart"/>
      <w:r w:rsidRPr="002244EC">
        <w:rPr>
          <w:rFonts w:ascii="Arial" w:hAnsi="Arial" w:cs="Arial"/>
          <w:sz w:val="16"/>
          <w:szCs w:val="16"/>
          <w:u w:val="single"/>
        </w:rPr>
        <w:t>Cautário</w:t>
      </w:r>
      <w:proofErr w:type="spellEnd"/>
      <w:r w:rsidRPr="002244EC">
        <w:rPr>
          <w:rFonts w:ascii="Arial" w:hAnsi="Arial" w:cs="Arial"/>
          <w:sz w:val="16"/>
          <w:szCs w:val="16"/>
          <w:u w:val="single"/>
        </w:rPr>
        <w:t xml:space="preserve"> 6º andar- Avenida </w:t>
      </w:r>
      <w:proofErr w:type="spellStart"/>
      <w:r w:rsidRPr="002244EC">
        <w:rPr>
          <w:rFonts w:ascii="Arial" w:hAnsi="Arial" w:cs="Arial"/>
          <w:sz w:val="16"/>
          <w:szCs w:val="16"/>
          <w:u w:val="single"/>
        </w:rPr>
        <w:t>Farquar</w:t>
      </w:r>
      <w:proofErr w:type="spellEnd"/>
      <w:r w:rsidRPr="002244EC">
        <w:rPr>
          <w:rFonts w:ascii="Arial" w:hAnsi="Arial" w:cs="Arial"/>
          <w:sz w:val="16"/>
          <w:szCs w:val="16"/>
          <w:u w:val="single"/>
        </w:rPr>
        <w:t xml:space="preserve"> nº. 2986 - Bairro Pedrinhas </w:t>
      </w:r>
      <w:proofErr w:type="spellStart"/>
      <w:r w:rsidRPr="002244EC">
        <w:rPr>
          <w:rFonts w:ascii="Arial" w:hAnsi="Arial" w:cs="Arial"/>
          <w:sz w:val="16"/>
          <w:szCs w:val="16"/>
        </w:rPr>
        <w:t>Tel</w:t>
      </w:r>
      <w:proofErr w:type="spellEnd"/>
      <w:r w:rsidRPr="002244EC">
        <w:rPr>
          <w:rFonts w:ascii="Arial" w:hAnsi="Arial" w:cs="Arial"/>
          <w:sz w:val="16"/>
          <w:szCs w:val="16"/>
        </w:rPr>
        <w:t xml:space="preserve">: (69) 3216-5107 – CEP: </w:t>
      </w:r>
      <w:r w:rsidRPr="002244EC">
        <w:rPr>
          <w:rStyle w:val="st"/>
          <w:rFonts w:ascii="Arial" w:hAnsi="Arial" w:cs="Arial"/>
          <w:sz w:val="16"/>
          <w:szCs w:val="16"/>
        </w:rPr>
        <w:t xml:space="preserve">76.903-036 </w:t>
      </w:r>
      <w:r w:rsidRPr="002244EC">
        <w:rPr>
          <w:rFonts w:ascii="Arial" w:hAnsi="Arial" w:cs="Arial"/>
          <w:sz w:val="16"/>
          <w:szCs w:val="16"/>
        </w:rPr>
        <w:t xml:space="preserve">– Porto Velho – RO, </w:t>
      </w:r>
      <w:r w:rsidRPr="002244EC">
        <w:rPr>
          <w:rFonts w:ascii="Arial" w:hAnsi="Arial" w:cs="Arial"/>
          <w:b/>
          <w:bCs/>
          <w:sz w:val="16"/>
          <w:szCs w:val="16"/>
        </w:rPr>
        <w:t xml:space="preserve">no horário das 07h30min às 13h30 de </w:t>
      </w:r>
      <w:proofErr w:type="gramStart"/>
      <w:r w:rsidRPr="002244EC">
        <w:rPr>
          <w:rFonts w:ascii="Arial" w:hAnsi="Arial" w:cs="Arial"/>
          <w:b/>
          <w:bCs/>
          <w:sz w:val="16"/>
          <w:szCs w:val="16"/>
        </w:rPr>
        <w:t>Segunda –feira</w:t>
      </w:r>
      <w:proofErr w:type="gramEnd"/>
      <w:r w:rsidRPr="002244EC">
        <w:rPr>
          <w:rFonts w:ascii="Arial" w:hAnsi="Arial" w:cs="Arial"/>
          <w:b/>
          <w:bCs/>
          <w:sz w:val="16"/>
          <w:szCs w:val="16"/>
        </w:rPr>
        <w:t xml:space="preserve">  a sexta-feira.</w:t>
      </w:r>
    </w:p>
    <w:p w:rsidR="00027613" w:rsidRDefault="00027613" w:rsidP="00B73180">
      <w:pPr>
        <w:pStyle w:val="PargrafodaLista"/>
        <w:tabs>
          <w:tab w:val="left" w:pos="0"/>
        </w:tabs>
        <w:spacing w:before="120"/>
        <w:ind w:left="360"/>
        <w:jc w:val="both"/>
        <w:rPr>
          <w:rFonts w:ascii="Arial" w:hAnsi="Arial" w:cs="Arial"/>
          <w:b/>
          <w:color w:val="FF0000"/>
          <w:sz w:val="16"/>
          <w:szCs w:val="16"/>
        </w:rPr>
      </w:pPr>
    </w:p>
    <w:p w:rsidR="002244EC" w:rsidRPr="00027613" w:rsidRDefault="002244EC" w:rsidP="00B73180">
      <w:pPr>
        <w:pStyle w:val="PargrafodaLista"/>
        <w:tabs>
          <w:tab w:val="left" w:pos="0"/>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055CB" w:rsidRPr="00183393" w:rsidRDefault="009055CB" w:rsidP="008E4E8A">
      <w:pPr>
        <w:pStyle w:val="NormalWeb"/>
        <w:spacing w:before="0" w:beforeAutospacing="0" w:after="0" w:afterAutospacing="0"/>
        <w:ind w:left="360"/>
        <w:jc w:val="both"/>
        <w:rPr>
          <w:rFonts w:ascii="Arial" w:hAnsi="Arial" w:cs="Arial"/>
          <w:sz w:val="16"/>
          <w:szCs w:val="16"/>
        </w:rPr>
      </w:pPr>
    </w:p>
    <w:p w:rsidR="00C93C3C" w:rsidRPr="001B3696" w:rsidRDefault="009D2314" w:rsidP="00C93C3C">
      <w:pPr>
        <w:pStyle w:val="Lista2"/>
        <w:numPr>
          <w:ilvl w:val="0"/>
          <w:numId w:val="4"/>
        </w:numPr>
        <w:jc w:val="both"/>
        <w:rPr>
          <w:b/>
          <w:bCs/>
          <w:sz w:val="16"/>
          <w:szCs w:val="16"/>
        </w:rPr>
      </w:pPr>
      <w:r w:rsidRPr="001B3696">
        <w:rPr>
          <w:b/>
          <w:bCs/>
          <w:sz w:val="16"/>
          <w:szCs w:val="16"/>
        </w:rPr>
        <w:t>DAS SANÇÕES NO CASO DE INADIMPLÊNCIA E DO CANCELAMENTO DO REGISTRO DE PREÇOS</w:t>
      </w:r>
    </w:p>
    <w:p w:rsidR="00F961B7" w:rsidRPr="001B3696" w:rsidRDefault="00F961B7" w:rsidP="00F961B7">
      <w:pPr>
        <w:pStyle w:val="Lista2"/>
        <w:ind w:left="0" w:firstLine="0"/>
        <w:jc w:val="both"/>
        <w:rPr>
          <w:b/>
          <w:bCs/>
          <w:sz w:val="16"/>
          <w:szCs w:val="16"/>
        </w:rPr>
      </w:pPr>
    </w:p>
    <w:p w:rsidR="001B3696" w:rsidRPr="001B3696" w:rsidRDefault="001B3696" w:rsidP="001B3696">
      <w:pPr>
        <w:pStyle w:val="PargrafodaLista"/>
        <w:numPr>
          <w:ilvl w:val="1"/>
          <w:numId w:val="33"/>
        </w:numPr>
        <w:spacing w:line="360" w:lineRule="auto"/>
        <w:jc w:val="both"/>
        <w:rPr>
          <w:rFonts w:ascii="Arial" w:hAnsi="Arial" w:cs="Arial"/>
          <w:b/>
          <w:bCs/>
          <w:color w:val="000000" w:themeColor="text1"/>
          <w:sz w:val="16"/>
          <w:szCs w:val="16"/>
        </w:rPr>
      </w:pPr>
      <w:r w:rsidRPr="001B3696">
        <w:rPr>
          <w:rFonts w:ascii="Arial" w:hAnsi="Arial" w:cs="Arial"/>
          <w:sz w:val="16"/>
          <w:szCs w:val="16"/>
        </w:rPr>
        <w:t xml:space="preserve">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1B3696">
        <w:rPr>
          <w:rFonts w:ascii="Arial" w:hAnsi="Arial" w:cs="Arial"/>
          <w:b/>
          <w:bCs/>
          <w:sz w:val="16"/>
          <w:szCs w:val="16"/>
        </w:rPr>
        <w:t>sistema de cadastro da SUPEL e SICAF,</w:t>
      </w:r>
      <w:r w:rsidRPr="001B3696">
        <w:rPr>
          <w:rFonts w:ascii="Arial" w:hAnsi="Arial" w:cs="Arial"/>
          <w:sz w:val="16"/>
          <w:szCs w:val="16"/>
        </w:rPr>
        <w:t xml:space="preserve">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w:t>
      </w:r>
    </w:p>
    <w:p w:rsidR="001B3696" w:rsidRDefault="001B3696" w:rsidP="001B3696">
      <w:pPr>
        <w:pStyle w:val="PargrafodaLista"/>
        <w:numPr>
          <w:ilvl w:val="1"/>
          <w:numId w:val="33"/>
        </w:numPr>
        <w:spacing w:line="360" w:lineRule="auto"/>
        <w:jc w:val="both"/>
        <w:rPr>
          <w:rFonts w:ascii="Arial" w:hAnsi="Arial" w:cs="Arial"/>
          <w:b/>
          <w:bCs/>
          <w:color w:val="000000" w:themeColor="text1"/>
          <w:sz w:val="16"/>
          <w:szCs w:val="16"/>
        </w:rPr>
      </w:pPr>
      <w:r w:rsidRPr="001B3696">
        <w:rPr>
          <w:rFonts w:ascii="Arial" w:hAnsi="Arial" w:cs="Arial"/>
          <w:sz w:val="16"/>
          <w:szCs w:val="16"/>
        </w:rPr>
        <w:t xml:space="preserve">As penalidades serão obrigatoriamente registradas no </w:t>
      </w:r>
      <w:r w:rsidRPr="001B3696">
        <w:rPr>
          <w:rFonts w:ascii="Arial" w:hAnsi="Arial" w:cs="Arial"/>
          <w:b/>
          <w:bCs/>
          <w:sz w:val="16"/>
          <w:szCs w:val="16"/>
        </w:rPr>
        <w:t>sistema de cadastro da SUPEL e SICAF</w:t>
      </w:r>
      <w:r w:rsidRPr="001B3696">
        <w:rPr>
          <w:rFonts w:ascii="Arial" w:hAnsi="Arial" w:cs="Arial"/>
          <w:sz w:val="16"/>
          <w:szCs w:val="16"/>
        </w:rPr>
        <w:t>;</w:t>
      </w:r>
    </w:p>
    <w:p w:rsidR="001B3696" w:rsidRPr="001B3696" w:rsidRDefault="001B3696" w:rsidP="001B3696">
      <w:pPr>
        <w:pStyle w:val="PargrafodaLista"/>
        <w:numPr>
          <w:ilvl w:val="1"/>
          <w:numId w:val="33"/>
        </w:numPr>
        <w:spacing w:line="360" w:lineRule="auto"/>
        <w:jc w:val="both"/>
        <w:rPr>
          <w:rFonts w:ascii="Arial" w:hAnsi="Arial" w:cs="Arial"/>
          <w:b/>
          <w:bCs/>
          <w:color w:val="000000" w:themeColor="text1"/>
          <w:sz w:val="16"/>
          <w:szCs w:val="16"/>
        </w:rPr>
      </w:pPr>
      <w:r w:rsidRPr="001B3696">
        <w:rPr>
          <w:rFonts w:ascii="Arial" w:hAnsi="Arial" w:cs="Arial"/>
          <w:sz w:val="16"/>
          <w:szCs w:val="16"/>
        </w:rPr>
        <w:t>Pelo descumprimento total ou parcial das obrigações assumidas pela licitante vencedora, ela estará sujeita garantida a defesa prévia, segundo extensão da falta, às penalidades previstas nos Art. 86 a 88 da Lei nº 8.666/93, tais como:</w:t>
      </w:r>
    </w:p>
    <w:p w:rsidR="001B3696" w:rsidRPr="001B3696" w:rsidRDefault="001B3696" w:rsidP="001B3696">
      <w:pPr>
        <w:spacing w:line="360" w:lineRule="auto"/>
        <w:jc w:val="both"/>
        <w:rPr>
          <w:rFonts w:ascii="Arial" w:hAnsi="Arial" w:cs="Arial"/>
          <w:b/>
          <w:bCs/>
          <w:color w:val="000000" w:themeColor="text1"/>
          <w:sz w:val="16"/>
          <w:szCs w:val="16"/>
        </w:rPr>
      </w:pPr>
      <w:r>
        <w:rPr>
          <w:rFonts w:ascii="Arial" w:hAnsi="Arial" w:cs="Arial"/>
          <w:sz w:val="16"/>
          <w:szCs w:val="16"/>
        </w:rPr>
        <w:t xml:space="preserve">9.3.1 </w:t>
      </w:r>
      <w:r w:rsidRPr="001B3696">
        <w:rPr>
          <w:rFonts w:ascii="Arial" w:hAnsi="Arial" w:cs="Arial"/>
          <w:sz w:val="16"/>
          <w:szCs w:val="16"/>
        </w:rPr>
        <w:t>Advertência;</w:t>
      </w:r>
    </w:p>
    <w:p w:rsidR="001B3696" w:rsidRPr="001B3696" w:rsidRDefault="001B3696" w:rsidP="001B3696">
      <w:pPr>
        <w:pStyle w:val="PargrafodaLista"/>
        <w:spacing w:line="360" w:lineRule="auto"/>
        <w:ind w:left="0"/>
        <w:jc w:val="both"/>
        <w:rPr>
          <w:rFonts w:ascii="Arial" w:hAnsi="Arial" w:cs="Arial"/>
          <w:b/>
          <w:bCs/>
          <w:color w:val="000000" w:themeColor="text1"/>
          <w:sz w:val="16"/>
          <w:szCs w:val="16"/>
        </w:rPr>
      </w:pPr>
      <w:r>
        <w:rPr>
          <w:rFonts w:ascii="Arial" w:hAnsi="Arial" w:cs="Arial"/>
          <w:sz w:val="16"/>
          <w:szCs w:val="16"/>
        </w:rPr>
        <w:t xml:space="preserve">9.3.2 </w:t>
      </w:r>
      <w:r w:rsidRPr="001B3696">
        <w:rPr>
          <w:rFonts w:ascii="Arial" w:hAnsi="Arial" w:cs="Arial"/>
          <w:sz w:val="16"/>
          <w:szCs w:val="16"/>
        </w:rPr>
        <w:t>Multa;</w:t>
      </w:r>
    </w:p>
    <w:p w:rsidR="001B3696" w:rsidRPr="001B3696" w:rsidRDefault="001B3696" w:rsidP="001B3696">
      <w:pPr>
        <w:pStyle w:val="PargrafodaLista"/>
        <w:spacing w:line="360" w:lineRule="auto"/>
        <w:ind w:left="0"/>
        <w:jc w:val="both"/>
        <w:rPr>
          <w:rFonts w:ascii="Arial" w:hAnsi="Arial" w:cs="Arial"/>
          <w:b/>
          <w:bCs/>
          <w:color w:val="000000" w:themeColor="text1"/>
          <w:sz w:val="16"/>
          <w:szCs w:val="16"/>
        </w:rPr>
      </w:pPr>
      <w:r>
        <w:rPr>
          <w:rFonts w:ascii="Arial" w:hAnsi="Arial" w:cs="Arial"/>
          <w:sz w:val="16"/>
          <w:szCs w:val="16"/>
        </w:rPr>
        <w:t xml:space="preserve">9.3.3 </w:t>
      </w:r>
      <w:r w:rsidRPr="001B3696">
        <w:rPr>
          <w:rFonts w:ascii="Arial" w:hAnsi="Arial" w:cs="Arial"/>
          <w:sz w:val="16"/>
          <w:szCs w:val="16"/>
        </w:rPr>
        <w:t>Suspensão temporária de participação em licitação e impedimento de contratar com a Administração, pelo prazo de até 02 (dois) anos (Art. 87, inciso III, da Lei 8.666/93);</w:t>
      </w:r>
    </w:p>
    <w:p w:rsidR="001B3696" w:rsidRPr="00D816FF" w:rsidRDefault="00D816FF" w:rsidP="00D816FF">
      <w:pPr>
        <w:pStyle w:val="PargrafodaLista"/>
        <w:numPr>
          <w:ilvl w:val="2"/>
          <w:numId w:val="34"/>
        </w:numPr>
        <w:spacing w:line="360" w:lineRule="auto"/>
        <w:jc w:val="both"/>
        <w:rPr>
          <w:rFonts w:ascii="Arial" w:hAnsi="Arial" w:cs="Arial"/>
          <w:b/>
          <w:bCs/>
          <w:color w:val="000000" w:themeColor="text1"/>
          <w:sz w:val="16"/>
          <w:szCs w:val="16"/>
        </w:rPr>
      </w:pPr>
      <w:r>
        <w:rPr>
          <w:rFonts w:ascii="Arial" w:hAnsi="Arial" w:cs="Arial"/>
          <w:sz w:val="16"/>
          <w:szCs w:val="16"/>
        </w:rPr>
        <w:t xml:space="preserve"> </w:t>
      </w:r>
      <w:r w:rsidR="001B3696" w:rsidRPr="00D816FF">
        <w:rPr>
          <w:rFonts w:ascii="Arial" w:hAnsi="Arial" w:cs="Arial"/>
          <w:sz w:val="16"/>
          <w:szCs w:val="16"/>
        </w:rPr>
        <w:t>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1B3696" w:rsidRPr="001B3696" w:rsidRDefault="001B3696" w:rsidP="00D816FF">
      <w:pPr>
        <w:pStyle w:val="PargrafodaLista"/>
        <w:numPr>
          <w:ilvl w:val="1"/>
          <w:numId w:val="35"/>
        </w:numPr>
        <w:spacing w:line="360" w:lineRule="auto"/>
        <w:jc w:val="both"/>
        <w:rPr>
          <w:rFonts w:ascii="Arial" w:hAnsi="Arial" w:cs="Arial"/>
          <w:b/>
          <w:bCs/>
          <w:color w:val="000000" w:themeColor="text1"/>
          <w:sz w:val="16"/>
          <w:szCs w:val="16"/>
        </w:rPr>
      </w:pPr>
      <w:r w:rsidRPr="001B3696">
        <w:rPr>
          <w:rFonts w:ascii="Arial" w:hAnsi="Arial" w:cs="Arial"/>
          <w:sz w:val="16"/>
          <w:szCs w:val="16"/>
        </w:rPr>
        <w:t>Se a Contratada inadimplir as obrigações assumidas, no todo ou em parte, ficará sujeita ao pagamento de multa nos seguintes termos:</w:t>
      </w:r>
    </w:p>
    <w:p w:rsidR="001B3696" w:rsidRPr="001B3696" w:rsidRDefault="00D816FF" w:rsidP="00D816FF">
      <w:pPr>
        <w:pStyle w:val="PargrafodaLista"/>
        <w:numPr>
          <w:ilvl w:val="2"/>
          <w:numId w:val="36"/>
        </w:numPr>
        <w:tabs>
          <w:tab w:val="left" w:pos="426"/>
        </w:tabs>
        <w:spacing w:line="360" w:lineRule="auto"/>
        <w:ind w:left="0" w:firstLine="0"/>
        <w:jc w:val="both"/>
        <w:rPr>
          <w:rFonts w:ascii="Arial" w:hAnsi="Arial" w:cs="Arial"/>
          <w:b/>
          <w:bCs/>
          <w:color w:val="000000" w:themeColor="text1"/>
          <w:sz w:val="16"/>
          <w:szCs w:val="16"/>
        </w:rPr>
      </w:pPr>
      <w:r>
        <w:rPr>
          <w:rFonts w:ascii="Arial" w:hAnsi="Arial" w:cs="Arial"/>
          <w:sz w:val="16"/>
          <w:szCs w:val="16"/>
        </w:rPr>
        <w:t xml:space="preserve"> </w:t>
      </w:r>
      <w:r w:rsidR="001B3696" w:rsidRPr="001B3696">
        <w:rPr>
          <w:rFonts w:ascii="Arial" w:hAnsi="Arial" w:cs="Arial"/>
          <w:sz w:val="16"/>
          <w:szCs w:val="16"/>
        </w:rPr>
        <w:t>Pelo atraso na execução do serviço no prazo estipulado neste TERMO: 1% (um por cento) do valor do serviço não executado, por dia decorrido, até o limite máximo de 10% (dez por cento) do valor da parcela inadimplida do contrato;</w:t>
      </w:r>
    </w:p>
    <w:p w:rsidR="001B3696" w:rsidRPr="00D816FF" w:rsidRDefault="001B3696" w:rsidP="00D816FF">
      <w:pPr>
        <w:pStyle w:val="PargrafodaLista"/>
        <w:numPr>
          <w:ilvl w:val="2"/>
          <w:numId w:val="36"/>
        </w:numPr>
        <w:tabs>
          <w:tab w:val="left" w:pos="426"/>
        </w:tabs>
        <w:spacing w:line="360" w:lineRule="auto"/>
        <w:ind w:left="0" w:firstLine="0"/>
        <w:jc w:val="both"/>
        <w:rPr>
          <w:rFonts w:ascii="Arial" w:hAnsi="Arial" w:cs="Arial"/>
          <w:b/>
          <w:bCs/>
          <w:color w:val="000000" w:themeColor="text1"/>
          <w:sz w:val="16"/>
          <w:szCs w:val="16"/>
        </w:rPr>
      </w:pPr>
      <w:r w:rsidRPr="00D816FF">
        <w:rPr>
          <w:rFonts w:ascii="Arial" w:hAnsi="Arial" w:cs="Arial"/>
          <w:sz w:val="16"/>
          <w:szCs w:val="16"/>
        </w:rPr>
        <w:t>Pela recusa em executar o serviço pretendido e/ou pela sua não execução, caracterizada em 10 (dez) dias após o recebimento da ordem de serviço: de 5%, por dia decorrido, até o limite máximo de 10% (dez por cento) do valor do serviço, considerando a gravidade causada a Administração dos danos decorrentes desta não execução dos serviços.</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 xml:space="preserve">Pela recusa da Contratada em substituir o material rejeitado, entendendo-se como recusa a substituição não efetivada nos </w:t>
      </w:r>
      <w:r w:rsidRPr="001B3696">
        <w:rPr>
          <w:rFonts w:ascii="Arial" w:hAnsi="Arial" w:cs="Arial"/>
          <w:b/>
          <w:bCs/>
          <w:sz w:val="16"/>
          <w:szCs w:val="16"/>
        </w:rPr>
        <w:t xml:space="preserve">15 (quinze) dias </w:t>
      </w:r>
      <w:r w:rsidRPr="001B3696">
        <w:rPr>
          <w:rFonts w:ascii="Arial" w:hAnsi="Arial" w:cs="Arial"/>
          <w:sz w:val="16"/>
          <w:szCs w:val="16"/>
        </w:rPr>
        <w:t xml:space="preserve">que se seguirem à data da rejeição: de 5% por dia decorrido até o limite máximo de 10% (dez por cento) do valor do </w:t>
      </w:r>
      <w:proofErr w:type="gramStart"/>
      <w:r w:rsidRPr="001B3696">
        <w:rPr>
          <w:rFonts w:ascii="Arial" w:hAnsi="Arial" w:cs="Arial"/>
          <w:sz w:val="16"/>
          <w:szCs w:val="16"/>
        </w:rPr>
        <w:t>bem rejeitado, considerando a gravidade causada</w:t>
      </w:r>
      <w:proofErr w:type="gramEnd"/>
      <w:r w:rsidRPr="001B3696">
        <w:rPr>
          <w:rFonts w:ascii="Arial" w:hAnsi="Arial" w:cs="Arial"/>
          <w:sz w:val="16"/>
          <w:szCs w:val="16"/>
        </w:rPr>
        <w:t xml:space="preserve"> a Administração dos danos decorrentes desta recusa em substituir o material rejeitado.</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bCs/>
          <w:sz w:val="16"/>
          <w:szCs w:val="16"/>
        </w:rPr>
        <w:t>Pelo</w:t>
      </w:r>
      <w:r w:rsidRPr="001B3696">
        <w:rPr>
          <w:rFonts w:ascii="Arial" w:hAnsi="Arial" w:cs="Arial"/>
          <w:sz w:val="16"/>
          <w:szCs w:val="16"/>
        </w:rPr>
        <w:t xml:space="preserve">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 xml:space="preserve">As multas estabelecidas no subitem </w:t>
      </w:r>
      <w:r w:rsidR="00D816FF" w:rsidRPr="00D816FF">
        <w:rPr>
          <w:rFonts w:ascii="Arial" w:hAnsi="Arial" w:cs="Arial"/>
          <w:sz w:val="16"/>
          <w:szCs w:val="16"/>
        </w:rPr>
        <w:t>9</w:t>
      </w:r>
      <w:r w:rsidRPr="00D816FF">
        <w:rPr>
          <w:rFonts w:ascii="Arial" w:hAnsi="Arial" w:cs="Arial"/>
          <w:sz w:val="16"/>
          <w:szCs w:val="16"/>
        </w:rPr>
        <w:t>.4</w:t>
      </w:r>
      <w:r w:rsidRPr="001B3696">
        <w:rPr>
          <w:rFonts w:ascii="Arial" w:hAnsi="Arial" w:cs="Arial"/>
          <w:sz w:val="16"/>
          <w:szCs w:val="16"/>
        </w:rPr>
        <w:t xml:space="preserve"> podem ser aplicadas isoladas ou cumulativamente, ficando o seu total limitado a 10% (dez por cento) do valor contratado, sem prejuízo de perdas e danos cabíveis;</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As importâncias relativas a multas deverão ser pagas através de Guia de Recolhimento do Estado fornecida pela SEAE ou através de qualquer outro instrumento previsto na legislação vigente;</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lastRenderedPageBreak/>
        <w:t>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As penalidades aplicadas só poderão ser relevadas nas hipóteses de caso fortuito ou força maior, devidamente justificada e comprovada, a juízo da administração;</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 xml:space="preserve">As sanções previstas nos </w:t>
      </w:r>
      <w:r w:rsidRPr="00D816FF">
        <w:rPr>
          <w:rFonts w:ascii="Arial" w:hAnsi="Arial" w:cs="Arial"/>
          <w:sz w:val="16"/>
          <w:szCs w:val="16"/>
        </w:rPr>
        <w:t xml:space="preserve">itens </w:t>
      </w:r>
      <w:r w:rsidR="00D816FF">
        <w:rPr>
          <w:rFonts w:ascii="Arial" w:hAnsi="Arial" w:cs="Arial"/>
          <w:sz w:val="16"/>
          <w:szCs w:val="16"/>
        </w:rPr>
        <w:t>9</w:t>
      </w:r>
      <w:r w:rsidRPr="00D816FF">
        <w:rPr>
          <w:rFonts w:ascii="Arial" w:hAnsi="Arial" w:cs="Arial"/>
          <w:sz w:val="16"/>
          <w:szCs w:val="16"/>
        </w:rPr>
        <w:t xml:space="preserve">.3.1, </w:t>
      </w:r>
      <w:r w:rsidR="00D816FF">
        <w:rPr>
          <w:rFonts w:ascii="Arial" w:hAnsi="Arial" w:cs="Arial"/>
          <w:sz w:val="16"/>
          <w:szCs w:val="16"/>
        </w:rPr>
        <w:t>9</w:t>
      </w:r>
      <w:r w:rsidRPr="00D816FF">
        <w:rPr>
          <w:rFonts w:ascii="Arial" w:hAnsi="Arial" w:cs="Arial"/>
          <w:sz w:val="16"/>
          <w:szCs w:val="16"/>
        </w:rPr>
        <w:t xml:space="preserve">.3.2 e </w:t>
      </w:r>
      <w:r w:rsidR="00D816FF">
        <w:rPr>
          <w:rFonts w:ascii="Arial" w:hAnsi="Arial" w:cs="Arial"/>
          <w:sz w:val="16"/>
          <w:szCs w:val="16"/>
        </w:rPr>
        <w:t>9</w:t>
      </w:r>
      <w:r w:rsidRPr="00D816FF">
        <w:rPr>
          <w:rFonts w:ascii="Arial" w:hAnsi="Arial" w:cs="Arial"/>
          <w:sz w:val="16"/>
          <w:szCs w:val="16"/>
        </w:rPr>
        <w:t>.3.3</w:t>
      </w:r>
      <w:r w:rsidRPr="001B3696">
        <w:rPr>
          <w:rFonts w:ascii="Arial" w:hAnsi="Arial" w:cs="Arial"/>
          <w:sz w:val="16"/>
          <w:szCs w:val="16"/>
        </w:rPr>
        <w:t xml:space="preserve">, poderão ser aplicadas juntamente com a do item </w:t>
      </w:r>
      <w:r w:rsidR="00D816FF">
        <w:rPr>
          <w:rFonts w:ascii="Arial" w:hAnsi="Arial" w:cs="Arial"/>
          <w:sz w:val="16"/>
          <w:szCs w:val="16"/>
        </w:rPr>
        <w:t>9</w:t>
      </w:r>
      <w:r w:rsidRPr="00D816FF">
        <w:rPr>
          <w:rFonts w:ascii="Arial" w:hAnsi="Arial" w:cs="Arial"/>
          <w:sz w:val="16"/>
          <w:szCs w:val="16"/>
        </w:rPr>
        <w:t>.4</w:t>
      </w:r>
      <w:r w:rsidRPr="001B3696">
        <w:rPr>
          <w:rFonts w:ascii="Arial" w:hAnsi="Arial" w:cs="Arial"/>
          <w:sz w:val="16"/>
          <w:szCs w:val="16"/>
        </w:rPr>
        <w:t xml:space="preserve">, facultada a defesa prévia do interessado, no prazo de </w:t>
      </w:r>
      <w:r w:rsidRPr="001B3696">
        <w:rPr>
          <w:rFonts w:ascii="Arial" w:hAnsi="Arial" w:cs="Arial"/>
          <w:b/>
          <w:sz w:val="16"/>
          <w:szCs w:val="16"/>
        </w:rPr>
        <w:t>0</w:t>
      </w:r>
      <w:r w:rsidRPr="001B3696">
        <w:rPr>
          <w:rFonts w:ascii="Arial" w:hAnsi="Arial" w:cs="Arial"/>
          <w:b/>
          <w:bCs/>
          <w:sz w:val="16"/>
          <w:szCs w:val="16"/>
        </w:rPr>
        <w:t>5 (cinco</w:t>
      </w:r>
      <w:proofErr w:type="gramStart"/>
      <w:r w:rsidRPr="001B3696">
        <w:rPr>
          <w:rFonts w:ascii="Arial" w:hAnsi="Arial" w:cs="Arial"/>
          <w:b/>
          <w:bCs/>
          <w:sz w:val="16"/>
          <w:szCs w:val="16"/>
        </w:rPr>
        <w:t>)dias</w:t>
      </w:r>
      <w:proofErr w:type="gramEnd"/>
      <w:r w:rsidRPr="001B3696">
        <w:rPr>
          <w:rFonts w:ascii="Arial" w:hAnsi="Arial" w:cs="Arial"/>
          <w:b/>
          <w:bCs/>
          <w:sz w:val="16"/>
          <w:szCs w:val="16"/>
        </w:rPr>
        <w:t xml:space="preserve"> úteis </w:t>
      </w:r>
      <w:r w:rsidRPr="001B3696">
        <w:rPr>
          <w:rFonts w:ascii="Arial" w:hAnsi="Arial" w:cs="Arial"/>
          <w:sz w:val="16"/>
          <w:szCs w:val="16"/>
        </w:rPr>
        <w:t>(Art. 87, § 2º, da Lei 8.666/93);</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As penalidades fixadas neste edital e em legislação correlatas serão aplicadas, por meio de Processo Administração, a cargo da autoridade competente desta SEAE, no qual será assegurado o direito ao contraditório e à ampla defesa (Art. 5, Inciso LV, da CF/88);</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A aplicação das sanções previstas neste Termo não exclui a possibilidade de aplicações de outras, previstas em Lei, inclusive responsabilização do fornecedor por eventuais perdas e danos causado à Administração;</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1B3696" w:rsidRPr="001B3696" w:rsidRDefault="001B3696" w:rsidP="00D816FF">
      <w:pPr>
        <w:pStyle w:val="PargrafodaLista"/>
        <w:numPr>
          <w:ilvl w:val="1"/>
          <w:numId w:val="36"/>
        </w:numPr>
        <w:spacing w:line="360" w:lineRule="auto"/>
        <w:ind w:left="426" w:hanging="426"/>
        <w:jc w:val="both"/>
        <w:rPr>
          <w:rFonts w:ascii="Arial" w:hAnsi="Arial" w:cs="Arial"/>
          <w:b/>
          <w:bCs/>
          <w:color w:val="000000" w:themeColor="text1"/>
          <w:sz w:val="16"/>
          <w:szCs w:val="16"/>
        </w:rPr>
      </w:pPr>
      <w:r w:rsidRPr="001B3696">
        <w:rPr>
          <w:rFonts w:ascii="Arial" w:hAnsi="Arial" w:cs="Arial"/>
          <w:color w:val="000000" w:themeColor="text1"/>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1B3696" w:rsidRPr="001B3696" w:rsidRDefault="001B3696" w:rsidP="001B3696">
      <w:pPr>
        <w:pStyle w:val="PargrafodaLista"/>
        <w:spacing w:line="360" w:lineRule="auto"/>
        <w:ind w:left="1440"/>
        <w:jc w:val="both"/>
        <w:rPr>
          <w:rFonts w:ascii="Arial" w:hAnsi="Arial" w:cs="Arial"/>
          <w:color w:val="000000" w:themeColor="text1"/>
          <w:sz w:val="16"/>
          <w:szCs w:val="16"/>
        </w:rPr>
      </w:pPr>
    </w:p>
    <w:tbl>
      <w:tblPr>
        <w:tblW w:w="9749" w:type="dxa"/>
        <w:tblCellSpacing w:w="0" w:type="dxa"/>
        <w:tblCellMar>
          <w:top w:w="15" w:type="dxa"/>
          <w:left w:w="15" w:type="dxa"/>
          <w:bottom w:w="15" w:type="dxa"/>
          <w:right w:w="15" w:type="dxa"/>
        </w:tblCellMar>
        <w:tblLook w:val="04A0"/>
      </w:tblPr>
      <w:tblGrid>
        <w:gridCol w:w="491"/>
        <w:gridCol w:w="7156"/>
        <w:gridCol w:w="651"/>
        <w:gridCol w:w="1451"/>
      </w:tblGrid>
      <w:tr w:rsidR="001B3696" w:rsidRPr="001B3696" w:rsidTr="001B3696">
        <w:trPr>
          <w:trHeight w:val="372"/>
          <w:tblCellSpacing w:w="0" w:type="dxa"/>
        </w:trPr>
        <w:tc>
          <w:tcPr>
            <w:tcW w:w="491"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b/>
                <w:bCs/>
                <w:sz w:val="16"/>
                <w:szCs w:val="16"/>
              </w:rPr>
              <w:t>Item</w:t>
            </w:r>
          </w:p>
        </w:tc>
        <w:tc>
          <w:tcPr>
            <w:tcW w:w="7156"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b/>
                <w:bCs/>
                <w:sz w:val="16"/>
                <w:szCs w:val="16"/>
              </w:rPr>
              <w:t>Descrição da Infração</w:t>
            </w:r>
          </w:p>
        </w:tc>
        <w:tc>
          <w:tcPr>
            <w:tcW w:w="651" w:type="dxa"/>
            <w:tcBorders>
              <w:top w:val="single" w:sz="6" w:space="0" w:color="000001"/>
              <w:left w:val="single" w:sz="6" w:space="0" w:color="000001"/>
              <w:bottom w:val="single" w:sz="6" w:space="0" w:color="000001"/>
              <w:right w:val="nil"/>
            </w:tcBorders>
            <w:shd w:val="clear" w:color="auto" w:fill="DFDFDF"/>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b/>
                <w:bCs/>
                <w:sz w:val="16"/>
                <w:szCs w:val="16"/>
              </w:rPr>
              <w:t>Grau</w:t>
            </w:r>
          </w:p>
        </w:tc>
        <w:tc>
          <w:tcPr>
            <w:tcW w:w="1451" w:type="dxa"/>
            <w:tcBorders>
              <w:top w:val="single" w:sz="6" w:space="0" w:color="000001"/>
              <w:left w:val="single" w:sz="6" w:space="0" w:color="000001"/>
              <w:bottom w:val="single" w:sz="6" w:space="0" w:color="000001"/>
              <w:right w:val="single" w:sz="6" w:space="0" w:color="000001"/>
            </w:tcBorders>
            <w:shd w:val="clear" w:color="auto" w:fill="DFDFDF"/>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b/>
                <w:bCs/>
                <w:sz w:val="16"/>
                <w:szCs w:val="16"/>
              </w:rPr>
              <w:t>Multa*</w:t>
            </w:r>
          </w:p>
        </w:tc>
      </w:tr>
      <w:tr w:rsidR="001B3696" w:rsidRPr="001B3696" w:rsidTr="001B3696">
        <w:trPr>
          <w:trHeight w:val="635"/>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01</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Permitir situação que crie a possibilidade ou cause dano físico, lesão corporal ou consequências letais;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06</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4,0% por dia</w:t>
            </w:r>
          </w:p>
        </w:tc>
      </w:tr>
      <w:tr w:rsidR="001B3696" w:rsidRPr="001B3696" w:rsidTr="001B3696">
        <w:trPr>
          <w:trHeight w:val="280"/>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02</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Usar indevidamente informações sigilosas a que teve acesso;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06</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4,0%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03</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Suspender ou interromper, salvo por motivo de força maior ou caso fortuito, os casos contratuais por dia e por unidade de </w:t>
            </w:r>
            <w:proofErr w:type="gramStart"/>
            <w:r w:rsidRPr="001B3696">
              <w:rPr>
                <w:rFonts w:ascii="Arial" w:hAnsi="Arial" w:cs="Arial"/>
                <w:sz w:val="16"/>
                <w:szCs w:val="16"/>
              </w:rPr>
              <w:t>atendimento</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05</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3,2% por dia</w:t>
            </w:r>
          </w:p>
        </w:tc>
      </w:tr>
      <w:tr w:rsidR="001B3696" w:rsidRPr="001B3696" w:rsidTr="001B3696">
        <w:trPr>
          <w:trHeight w:val="354"/>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04</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Destruir ou danificar documentos por culpa ou dolo de seus agentes;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05</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3,2%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05</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Recusar-se a executar serviço determinado pela FISCALIZAÇÃO, sem motivo justificado,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04</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1,6%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06</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Executar serviço incompleto, paliativo substitutivo como por caráter permanente ou deixar de providenciar recomposição complementar,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02</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0,4% por dia</w:t>
            </w:r>
          </w:p>
        </w:tc>
      </w:tr>
      <w:tr w:rsidR="001B3696" w:rsidRPr="001B3696" w:rsidTr="001B3696">
        <w:trPr>
          <w:trHeight w:val="108"/>
          <w:tblCellSpacing w:w="0" w:type="dxa"/>
        </w:trPr>
        <w:tc>
          <w:tcPr>
            <w:tcW w:w="9749" w:type="dxa"/>
            <w:gridSpan w:val="4"/>
            <w:tcBorders>
              <w:top w:val="single" w:sz="6" w:space="0" w:color="000001"/>
              <w:left w:val="single" w:sz="6" w:space="0" w:color="000001"/>
              <w:bottom w:val="single" w:sz="6" w:space="0" w:color="000001"/>
              <w:right w:val="single" w:sz="6" w:space="0" w:color="000001"/>
            </w:tcBorders>
            <w:shd w:val="clear" w:color="auto" w:fill="D8D8D8"/>
            <w:tcMar>
              <w:top w:w="0" w:type="dxa"/>
              <w:left w:w="11" w:type="dxa"/>
              <w:bottom w:w="0" w:type="dxa"/>
              <w:right w:w="11"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b/>
                <w:bCs/>
                <w:sz w:val="16"/>
                <w:szCs w:val="16"/>
              </w:rPr>
              <w:t xml:space="preserve">Para os itens a seguir, DEIXAR </w:t>
            </w:r>
            <w:proofErr w:type="gramStart"/>
            <w:r w:rsidRPr="001B3696">
              <w:rPr>
                <w:rFonts w:ascii="Arial" w:hAnsi="Arial" w:cs="Arial"/>
                <w:b/>
                <w:bCs/>
                <w:sz w:val="16"/>
                <w:szCs w:val="16"/>
              </w:rPr>
              <w:t>DE</w:t>
            </w:r>
            <w:proofErr w:type="gramEnd"/>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07</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Efetuar o pagamento de seguros, encargos fiscais e sociais, assim como quaisquer despesas diretas e/ou indiretas relacionadas à execução deste contrato; por dia e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05</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3,2%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08</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Efetuar a restauração do sistema e reposição de equipamentos danificados, por motivo e por </w:t>
            </w:r>
            <w:proofErr w:type="gramStart"/>
            <w:r w:rsidRPr="001B3696">
              <w:rPr>
                <w:rFonts w:ascii="Arial" w:hAnsi="Arial" w:cs="Arial"/>
                <w:sz w:val="16"/>
                <w:szCs w:val="16"/>
              </w:rPr>
              <w:t>dia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04</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1,6%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09</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Cumprir quaisquer dos itens do Termo de Referência, no Edital e seus anexos, mesmo que não previstos nesta tabela de multas, após reincidência formalmente notificada pela FISCALIZACAO;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03</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0,8% por dia</w:t>
            </w:r>
          </w:p>
        </w:tc>
      </w:tr>
      <w:tr w:rsidR="001B3696" w:rsidRPr="001B3696" w:rsidTr="001B3696">
        <w:trPr>
          <w:trHeight w:val="108"/>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10</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Cumprir determinação formal ou instrução complementar da FISCALIZAÇÃO,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03</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0,8% por dia</w:t>
            </w:r>
          </w:p>
        </w:tc>
      </w:tr>
      <w:tr w:rsidR="001B3696" w:rsidRPr="001B3696" w:rsidTr="001B3696">
        <w:trPr>
          <w:trHeight w:val="650"/>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11</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Iniciar execução de serviço nos prazos estabelecidos, observados os limites mínimos estabelecidos por esse contrato; por serviço,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02</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0,4% por dia</w:t>
            </w:r>
          </w:p>
        </w:tc>
      </w:tr>
      <w:tr w:rsidR="001B3696" w:rsidRPr="001B3696" w:rsidTr="001B3696">
        <w:trPr>
          <w:trHeight w:val="834"/>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12</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Disponibilizar os equipamentos, sistema, estabelecimentos credenciados; em número mínimo, treinamento e suporte aos demais necessários à realização dos serviços do escopo do contrato;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02</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0,4% por dia</w:t>
            </w:r>
          </w:p>
        </w:tc>
      </w:tr>
      <w:tr w:rsidR="001B3696" w:rsidRPr="001B3696" w:rsidTr="001B3696">
        <w:trPr>
          <w:trHeight w:val="444"/>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13</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Fornecer relatórios exigidos para o objeto, por tipo e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02</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0,4% por dia</w:t>
            </w:r>
          </w:p>
        </w:tc>
      </w:tr>
      <w:tr w:rsidR="001B3696" w:rsidRPr="001B3696" w:rsidTr="001B3696">
        <w:trPr>
          <w:trHeight w:val="346"/>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14</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Manter a documentação de habilitação atualizada; por item, por </w:t>
            </w:r>
            <w:proofErr w:type="gramStart"/>
            <w:r w:rsidRPr="001B3696">
              <w:rPr>
                <w:rFonts w:ascii="Arial" w:hAnsi="Arial" w:cs="Arial"/>
                <w:sz w:val="16"/>
                <w:szCs w:val="16"/>
              </w:rPr>
              <w:t>ocorrência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01</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0,2% por dia</w:t>
            </w:r>
          </w:p>
        </w:tc>
      </w:tr>
      <w:tr w:rsidR="001B3696" w:rsidRPr="001B3696" w:rsidTr="001B3696">
        <w:trPr>
          <w:trHeight w:val="683"/>
          <w:tblCellSpacing w:w="0" w:type="dxa"/>
        </w:trPr>
        <w:tc>
          <w:tcPr>
            <w:tcW w:w="49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15</w:t>
            </w:r>
          </w:p>
        </w:tc>
        <w:tc>
          <w:tcPr>
            <w:tcW w:w="7156"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Substituir funcionário que se conduza de modo inconveniente ou não atenda às necessidades do órgão, por funcionário e por </w:t>
            </w:r>
            <w:proofErr w:type="gramStart"/>
            <w:r w:rsidRPr="001B3696">
              <w:rPr>
                <w:rFonts w:ascii="Arial" w:hAnsi="Arial" w:cs="Arial"/>
                <w:sz w:val="16"/>
                <w:szCs w:val="16"/>
              </w:rPr>
              <w:t>dia</w:t>
            </w:r>
            <w:proofErr w:type="gramEnd"/>
          </w:p>
        </w:tc>
        <w:tc>
          <w:tcPr>
            <w:tcW w:w="651" w:type="dxa"/>
            <w:tcBorders>
              <w:top w:val="single" w:sz="6" w:space="0" w:color="000001"/>
              <w:left w:val="single" w:sz="6" w:space="0" w:color="000001"/>
              <w:bottom w:val="single" w:sz="6" w:space="0" w:color="000001"/>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01</w:t>
            </w:r>
          </w:p>
        </w:tc>
        <w:tc>
          <w:tcPr>
            <w:tcW w:w="1451" w:type="dxa"/>
            <w:tcBorders>
              <w:top w:val="single" w:sz="6" w:space="0" w:color="000001"/>
              <w:left w:val="single" w:sz="6" w:space="0" w:color="000001"/>
              <w:bottom w:val="single" w:sz="6" w:space="0" w:color="000001"/>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0,2% por dia</w:t>
            </w:r>
          </w:p>
        </w:tc>
      </w:tr>
      <w:tr w:rsidR="001B3696" w:rsidRPr="001B3696" w:rsidTr="001B3696">
        <w:trPr>
          <w:trHeight w:val="465"/>
          <w:tblCellSpacing w:w="0" w:type="dxa"/>
        </w:trPr>
        <w:tc>
          <w:tcPr>
            <w:tcW w:w="491" w:type="dxa"/>
            <w:tcBorders>
              <w:top w:val="single" w:sz="6" w:space="0" w:color="000001"/>
              <w:left w:val="single" w:sz="6" w:space="0" w:color="000001"/>
              <w:bottom w:val="single" w:sz="4" w:space="0" w:color="auto"/>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16</w:t>
            </w:r>
          </w:p>
        </w:tc>
        <w:tc>
          <w:tcPr>
            <w:tcW w:w="7156" w:type="dxa"/>
            <w:tcBorders>
              <w:top w:val="single" w:sz="6" w:space="0" w:color="000001"/>
              <w:left w:val="single" w:sz="6" w:space="0" w:color="000001"/>
              <w:bottom w:val="single" w:sz="4" w:space="0" w:color="auto"/>
              <w:right w:val="nil"/>
            </w:tcBorders>
            <w:tcMar>
              <w:top w:w="0" w:type="dxa"/>
              <w:left w:w="11" w:type="dxa"/>
              <w:bottom w:w="0" w:type="dxa"/>
              <w:right w:w="0"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 xml:space="preserve">Fornecer suporte técnico à CONTRATANTE, por ocorrência, por </w:t>
            </w:r>
            <w:proofErr w:type="gramStart"/>
            <w:r w:rsidRPr="001B3696">
              <w:rPr>
                <w:rFonts w:ascii="Arial" w:hAnsi="Arial" w:cs="Arial"/>
                <w:sz w:val="16"/>
                <w:szCs w:val="16"/>
              </w:rPr>
              <w:t>dia</w:t>
            </w:r>
            <w:proofErr w:type="gramEnd"/>
          </w:p>
        </w:tc>
        <w:tc>
          <w:tcPr>
            <w:tcW w:w="651" w:type="dxa"/>
            <w:tcBorders>
              <w:top w:val="single" w:sz="6" w:space="0" w:color="000001"/>
              <w:left w:val="single" w:sz="6" w:space="0" w:color="000001"/>
              <w:bottom w:val="single" w:sz="4" w:space="0" w:color="auto"/>
              <w:right w:val="nil"/>
            </w:tcBorders>
            <w:tcMar>
              <w:top w:w="0" w:type="dxa"/>
              <w:left w:w="11" w:type="dxa"/>
              <w:bottom w:w="0" w:type="dxa"/>
              <w:right w:w="0" w:type="dxa"/>
            </w:tcMar>
            <w:hideMark/>
          </w:tcPr>
          <w:p w:rsidR="001B3696" w:rsidRPr="001B3696" w:rsidRDefault="001B3696" w:rsidP="001B3696">
            <w:pPr>
              <w:spacing w:line="360" w:lineRule="auto"/>
              <w:jc w:val="center"/>
              <w:rPr>
                <w:rFonts w:ascii="Arial" w:hAnsi="Arial" w:cs="Arial"/>
                <w:sz w:val="16"/>
                <w:szCs w:val="16"/>
              </w:rPr>
            </w:pPr>
            <w:r w:rsidRPr="001B3696">
              <w:rPr>
                <w:rFonts w:ascii="Arial" w:hAnsi="Arial" w:cs="Arial"/>
                <w:sz w:val="16"/>
                <w:szCs w:val="16"/>
              </w:rPr>
              <w:t>01</w:t>
            </w:r>
          </w:p>
        </w:tc>
        <w:tc>
          <w:tcPr>
            <w:tcW w:w="1451" w:type="dxa"/>
            <w:tcBorders>
              <w:top w:val="single" w:sz="6" w:space="0" w:color="000001"/>
              <w:left w:val="single" w:sz="6" w:space="0" w:color="000001"/>
              <w:bottom w:val="single" w:sz="4" w:space="0" w:color="auto"/>
              <w:right w:val="single" w:sz="6" w:space="0" w:color="000001"/>
            </w:tcBorders>
            <w:tcMar>
              <w:top w:w="0" w:type="dxa"/>
              <w:left w:w="11" w:type="dxa"/>
              <w:bottom w:w="0" w:type="dxa"/>
              <w:right w:w="11" w:type="dxa"/>
            </w:tcMar>
            <w:hideMark/>
          </w:tcPr>
          <w:p w:rsidR="001B3696" w:rsidRPr="001B3696" w:rsidRDefault="001B3696" w:rsidP="001B3696">
            <w:pPr>
              <w:spacing w:line="360" w:lineRule="auto"/>
              <w:jc w:val="both"/>
              <w:rPr>
                <w:rFonts w:ascii="Arial" w:hAnsi="Arial" w:cs="Arial"/>
                <w:sz w:val="16"/>
                <w:szCs w:val="16"/>
              </w:rPr>
            </w:pPr>
            <w:r w:rsidRPr="001B3696">
              <w:rPr>
                <w:rFonts w:ascii="Arial" w:hAnsi="Arial" w:cs="Arial"/>
                <w:sz w:val="16"/>
                <w:szCs w:val="16"/>
              </w:rPr>
              <w:t>0,2% por dia</w:t>
            </w:r>
          </w:p>
        </w:tc>
      </w:tr>
    </w:tbl>
    <w:p w:rsidR="002244EC" w:rsidRDefault="002244EC" w:rsidP="00611D2B">
      <w:pPr>
        <w:pStyle w:val="PargrafodaLista"/>
        <w:ind w:left="450" w:hanging="450"/>
        <w:jc w:val="both"/>
        <w:rPr>
          <w:rFonts w:ascii="Arial" w:hAnsi="Arial" w:cs="Arial"/>
          <w:b/>
          <w:bCs/>
          <w:sz w:val="16"/>
          <w:szCs w:val="16"/>
        </w:rPr>
      </w:pPr>
    </w:p>
    <w:p w:rsidR="002244EC" w:rsidRDefault="002244EC" w:rsidP="00611D2B">
      <w:pPr>
        <w:pStyle w:val="PargrafodaLista"/>
        <w:ind w:left="450" w:hanging="450"/>
        <w:jc w:val="both"/>
        <w:rPr>
          <w:rFonts w:ascii="Arial" w:hAnsi="Arial" w:cs="Arial"/>
          <w:b/>
          <w:bCs/>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770226" w:rsidRDefault="002B52E1" w:rsidP="001D515A">
      <w:pPr>
        <w:rPr>
          <w:rFonts w:ascii="Arial" w:hAnsi="Arial" w:cs="Arial"/>
          <w:b/>
          <w:sz w:val="16"/>
          <w:szCs w:val="16"/>
        </w:rPr>
      </w:pPr>
      <w:r w:rsidRPr="00F961B7">
        <w:rPr>
          <w:rFonts w:ascii="Arial" w:hAnsi="Arial" w:cs="Arial"/>
          <w:b/>
          <w:sz w:val="16"/>
          <w:szCs w:val="16"/>
          <w:shd w:val="clear" w:color="auto" w:fill="FCFCFF"/>
        </w:rPr>
        <w:t>SEAE</w:t>
      </w:r>
      <w:r>
        <w:rPr>
          <w:rFonts w:ascii="Arial" w:hAnsi="Arial" w:cs="Arial"/>
          <w:sz w:val="16"/>
          <w:szCs w:val="16"/>
          <w:shd w:val="clear" w:color="auto" w:fill="FCFCFF"/>
        </w:rPr>
        <w:t xml:space="preserve"> – </w:t>
      </w:r>
      <w:r>
        <w:rPr>
          <w:rFonts w:ascii="Arial" w:hAnsi="Arial" w:cs="Arial"/>
          <w:color w:val="000000"/>
          <w:sz w:val="16"/>
          <w:szCs w:val="16"/>
        </w:rPr>
        <w:t>Superintendência</w:t>
      </w:r>
      <w:r w:rsidRPr="00DF4AF8">
        <w:rPr>
          <w:rFonts w:ascii="Arial" w:hAnsi="Arial" w:cs="Arial"/>
          <w:color w:val="000000"/>
          <w:sz w:val="16"/>
          <w:szCs w:val="16"/>
        </w:rPr>
        <w:t xml:space="preserve"> Estadual de Assuntos Estratégico</w:t>
      </w:r>
      <w:r w:rsidR="00C93C3C" w:rsidRPr="00770226">
        <w:rPr>
          <w:rFonts w:ascii="Arial" w:hAnsi="Arial" w:cs="Arial"/>
          <w:sz w:val="16"/>
          <w:szCs w:val="16"/>
        </w:rPr>
        <w:t>.</w:t>
      </w:r>
    </w:p>
    <w:p w:rsidR="00C93C3C" w:rsidRDefault="00C93C3C" w:rsidP="009D2314">
      <w:pPr>
        <w:jc w:val="both"/>
        <w:rPr>
          <w:rFonts w:ascii="Arial" w:hAnsi="Arial" w:cs="Arial"/>
          <w:b/>
          <w:bCs/>
          <w:color w:val="000000"/>
          <w:sz w:val="16"/>
          <w:szCs w:val="16"/>
        </w:rPr>
      </w:pPr>
    </w:p>
    <w:p w:rsidR="009055CB" w:rsidRDefault="009055C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2B52E1" w:rsidRDefault="002B52E1"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C50BF7" w:rsidRPr="00C50BF7" w:rsidRDefault="00F961B7"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B52E1">
        <w:rPr>
          <w:rFonts w:ascii="Arial" w:hAnsi="Arial" w:cs="Arial"/>
          <w:b/>
          <w:bCs/>
          <w:color w:val="000000"/>
          <w:sz w:val="10"/>
          <w:szCs w:val="10"/>
        </w:rPr>
        <w:t>/</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6FF" w:rsidRDefault="00D816FF">
      <w:r>
        <w:separator/>
      </w:r>
    </w:p>
  </w:endnote>
  <w:endnote w:type="continuationSeparator" w:id="0">
    <w:p w:rsidR="00D816FF" w:rsidRDefault="00D816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6FF" w:rsidRDefault="00D816FF">
      <w:r>
        <w:separator/>
      </w:r>
    </w:p>
  </w:footnote>
  <w:footnote w:type="continuationSeparator" w:id="0">
    <w:p w:rsidR="00D816FF" w:rsidRDefault="00D816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F" w:rsidRDefault="00D816F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2">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0">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2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94A43ED"/>
    <w:multiLevelType w:val="multilevel"/>
    <w:tmpl w:val="3500D032"/>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25">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1">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34">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35">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1"/>
  </w:num>
  <w:num w:numId="2">
    <w:abstractNumId w:val="15"/>
  </w:num>
  <w:num w:numId="3">
    <w:abstractNumId w:val="5"/>
  </w:num>
  <w:num w:numId="4">
    <w:abstractNumId w:val="4"/>
  </w:num>
  <w:num w:numId="5">
    <w:abstractNumId w:val="18"/>
  </w:num>
  <w:num w:numId="6">
    <w:abstractNumId w:val="16"/>
  </w:num>
  <w:num w:numId="7">
    <w:abstractNumId w:val="28"/>
  </w:num>
  <w:num w:numId="8">
    <w:abstractNumId w:val="13"/>
  </w:num>
  <w:num w:numId="9">
    <w:abstractNumId w:val="14"/>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3"/>
  </w:num>
  <w:num w:numId="14">
    <w:abstractNumId w:val="32"/>
  </w:num>
  <w:num w:numId="15">
    <w:abstractNumId w:val="1"/>
  </w:num>
  <w:num w:numId="16">
    <w:abstractNumId w:val="2"/>
  </w:num>
  <w:num w:numId="17">
    <w:abstractNumId w:val="35"/>
  </w:num>
  <w:num w:numId="18">
    <w:abstractNumId w:val="12"/>
  </w:num>
  <w:num w:numId="19">
    <w:abstractNumId w:val="25"/>
  </w:num>
  <w:num w:numId="20">
    <w:abstractNumId w:val="8"/>
  </w:num>
  <w:num w:numId="21">
    <w:abstractNumId w:val="17"/>
  </w:num>
  <w:num w:numId="22">
    <w:abstractNumId w:val="11"/>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33"/>
  </w:num>
  <w:num w:numId="29">
    <w:abstractNumId w:val="6"/>
  </w:num>
  <w:num w:numId="30">
    <w:abstractNumId w:val="34"/>
  </w:num>
  <w:num w:numId="31">
    <w:abstractNumId w:val="27"/>
  </w:num>
  <w:num w:numId="32">
    <w:abstractNumId w:val="22"/>
  </w:num>
  <w:num w:numId="33">
    <w:abstractNumId w:val="36"/>
  </w:num>
  <w:num w:numId="34">
    <w:abstractNumId w:val="19"/>
  </w:num>
  <w:num w:numId="35">
    <w:abstractNumId w:val="20"/>
  </w:num>
  <w:num w:numId="36">
    <w:abstractNumId w:val="31"/>
  </w:num>
  <w:num w:numId="37">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1225B-E904-46B1-9ED8-9757219E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5</Pages>
  <Words>3313</Words>
  <Characters>18337</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48</cp:revision>
  <cp:lastPrinted>2017-01-18T11:43:00Z</cp:lastPrinted>
  <dcterms:created xsi:type="dcterms:W3CDTF">2016-03-03T11:34:00Z</dcterms:created>
  <dcterms:modified xsi:type="dcterms:W3CDTF">2017-08-02T11:56:00Z</dcterms:modified>
</cp:coreProperties>
</file>