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A2973">
        <w:rPr>
          <w:rFonts w:ascii="Arial" w:hAnsi="Arial" w:cs="Arial"/>
          <w:sz w:val="16"/>
          <w:szCs w:val="16"/>
        </w:rPr>
        <w:t>160</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6A2973">
        <w:rPr>
          <w:rFonts w:ascii="Arial" w:hAnsi="Arial" w:cs="Arial"/>
          <w:bCs/>
          <w:sz w:val="16"/>
          <w:szCs w:val="16"/>
        </w:rPr>
        <w:t>182</w:t>
      </w:r>
      <w:r w:rsidR="00AF1824">
        <w:rPr>
          <w:rFonts w:ascii="Arial" w:hAnsi="Arial" w:cs="Arial"/>
          <w:bCs/>
          <w:sz w:val="16"/>
          <w:szCs w:val="16"/>
        </w:rPr>
        <w:t>/201</w:t>
      </w:r>
      <w:r w:rsidR="006A2973">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1824">
        <w:rPr>
          <w:rFonts w:ascii="Arial" w:hAnsi="Arial" w:cs="Arial"/>
          <w:bCs/>
          <w:sz w:val="16"/>
          <w:szCs w:val="16"/>
        </w:rPr>
        <w:t>2101.0</w:t>
      </w:r>
      <w:r w:rsidR="006A2973">
        <w:rPr>
          <w:rFonts w:ascii="Arial" w:hAnsi="Arial" w:cs="Arial"/>
          <w:bCs/>
          <w:sz w:val="16"/>
          <w:szCs w:val="16"/>
        </w:rPr>
        <w:t>2361</w:t>
      </w:r>
      <w:r w:rsidR="00041829">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6E1DB0">
        <w:rPr>
          <w:rFonts w:ascii="Arial" w:hAnsi="Arial" w:cs="Arial"/>
          <w:sz w:val="16"/>
          <w:szCs w:val="16"/>
        </w:rPr>
        <w:t xml:space="preserve">preço para </w:t>
      </w:r>
      <w:r w:rsidR="003C0CA5" w:rsidRPr="006E1DB0">
        <w:rPr>
          <w:rFonts w:ascii="Arial" w:hAnsi="Arial" w:cs="Arial"/>
          <w:bCs/>
          <w:sz w:val="16"/>
          <w:szCs w:val="16"/>
        </w:rPr>
        <w:t xml:space="preserve">futura e eventual </w:t>
      </w:r>
      <w:r w:rsidR="006A2973" w:rsidRPr="006A2973">
        <w:rPr>
          <w:rFonts w:ascii="Arial" w:hAnsi="Arial" w:cs="Arial"/>
          <w:sz w:val="16"/>
          <w:szCs w:val="16"/>
        </w:rPr>
        <w:t xml:space="preserve">aquisição de materiais de higiene e kit </w:t>
      </w:r>
      <w:proofErr w:type="gramStart"/>
      <w:r w:rsidR="006A2973" w:rsidRPr="006A2973">
        <w:rPr>
          <w:rFonts w:ascii="Arial" w:hAnsi="Arial" w:cs="Arial"/>
          <w:sz w:val="16"/>
          <w:szCs w:val="16"/>
        </w:rPr>
        <w:t>higiênico para atender as necessidades da Secretaria de Estado de Justiça - SEJUS/RO, Unidades Prisionais</w:t>
      </w:r>
      <w:proofErr w:type="gramEnd"/>
      <w:r w:rsidR="006A2973" w:rsidRPr="006A2973">
        <w:rPr>
          <w:rFonts w:ascii="Arial" w:hAnsi="Arial" w:cs="Arial"/>
          <w:sz w:val="16"/>
          <w:szCs w:val="16"/>
        </w:rPr>
        <w:t xml:space="preserve"> e Socioeducativas da capital e do interior do Estado de Rondônia</w:t>
      </w:r>
      <w:r w:rsidR="00AF1824">
        <w:rPr>
          <w:rFonts w:ascii="Arial" w:hAnsi="Arial" w:cs="Arial"/>
          <w:sz w:val="16"/>
          <w:szCs w:val="16"/>
        </w:rPr>
        <w:t>,</w:t>
      </w:r>
      <w:r w:rsidR="00AF1824" w:rsidRPr="00AF1824">
        <w:rPr>
          <w:rFonts w:ascii="Arial" w:hAnsi="Arial" w:cs="Arial"/>
          <w:sz w:val="16"/>
          <w:szCs w:val="16"/>
        </w:rPr>
        <w:t xml:space="preserve"> a</w:t>
      </w:r>
      <w:r w:rsidR="00AF1824">
        <w:rPr>
          <w:rFonts w:ascii="Arial" w:hAnsi="Arial" w:cs="Arial"/>
          <w:sz w:val="16"/>
          <w:szCs w:val="16"/>
        </w:rPr>
        <w:t xml:space="preserve"> pedido da</w:t>
      </w:r>
      <w:r w:rsidR="00AF1824" w:rsidRPr="00AF1824">
        <w:rPr>
          <w:rFonts w:ascii="Arial" w:hAnsi="Arial" w:cs="Arial"/>
          <w:sz w:val="16"/>
          <w:szCs w:val="16"/>
        </w:rPr>
        <w:t xml:space="preserve"> Secretaria de Estado de Justiça - SEJUS/RO</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6A2973" w:rsidRPr="006A2973">
        <w:rPr>
          <w:rFonts w:ascii="Arial" w:hAnsi="Arial" w:cs="Arial"/>
          <w:sz w:val="16"/>
          <w:szCs w:val="16"/>
        </w:rPr>
        <w:t xml:space="preserve">aquisição de materiais de higiene e kit </w:t>
      </w:r>
      <w:proofErr w:type="gramStart"/>
      <w:r w:rsidR="006A2973" w:rsidRPr="006A2973">
        <w:rPr>
          <w:rFonts w:ascii="Arial" w:hAnsi="Arial" w:cs="Arial"/>
          <w:sz w:val="16"/>
          <w:szCs w:val="16"/>
        </w:rPr>
        <w:t>higiênico para atender as necessidades da Secretaria de Estado de Justiça - SEJUS/RO, Unidades Prisionais</w:t>
      </w:r>
      <w:proofErr w:type="gramEnd"/>
      <w:r w:rsidR="006A2973" w:rsidRPr="006A2973">
        <w:rPr>
          <w:rFonts w:ascii="Arial" w:hAnsi="Arial" w:cs="Arial"/>
          <w:sz w:val="16"/>
          <w:szCs w:val="16"/>
        </w:rPr>
        <w:t xml:space="preserve"> e Socioeducativas da capital e do interior do Estado de Rondônia</w:t>
      </w:r>
      <w:r w:rsidR="00AF1824">
        <w:rPr>
          <w:rFonts w:ascii="Arial" w:hAnsi="Arial" w:cs="Arial"/>
          <w:sz w:val="16"/>
          <w:szCs w:val="16"/>
        </w:rPr>
        <w:t>,</w:t>
      </w:r>
      <w:r w:rsidR="00AF1824" w:rsidRPr="00AF1824">
        <w:rPr>
          <w:rFonts w:ascii="Arial" w:hAnsi="Arial" w:cs="Arial"/>
          <w:sz w:val="16"/>
          <w:szCs w:val="16"/>
        </w:rPr>
        <w:t xml:space="preserve"> a</w:t>
      </w:r>
      <w:r w:rsidR="00AF1824">
        <w:rPr>
          <w:rFonts w:ascii="Arial" w:hAnsi="Arial" w:cs="Arial"/>
          <w:sz w:val="16"/>
          <w:szCs w:val="16"/>
        </w:rPr>
        <w:t xml:space="preserve"> pedido da</w:t>
      </w:r>
      <w:r w:rsidR="00AF1824" w:rsidRPr="00AF1824">
        <w:rPr>
          <w:rFonts w:ascii="Arial" w:hAnsi="Arial" w:cs="Arial"/>
          <w:sz w:val="16"/>
          <w:szCs w:val="16"/>
        </w:rPr>
        <w:t xml:space="preserve"> Secretaria de Estado de Justiça - SEJUS/RO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AB0E51" w:rsidRDefault="00AB0E5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Default="009D2314" w:rsidP="009D2314">
      <w:pPr>
        <w:jc w:val="both"/>
        <w:rPr>
          <w:rFonts w:ascii="Arial" w:hAnsi="Arial" w:cs="Arial"/>
          <w:b/>
          <w:bCs/>
          <w:color w:val="000000"/>
          <w:sz w:val="16"/>
          <w:szCs w:val="16"/>
        </w:rPr>
      </w:pPr>
    </w:p>
    <w:p w:rsidR="00AB0E51" w:rsidRPr="009A54D1" w:rsidRDefault="00AB0E51"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6E1DB0" w:rsidRPr="009A54D1" w:rsidRDefault="006E1DB0" w:rsidP="006E1DB0">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6E1DB0" w:rsidRPr="00485091" w:rsidRDefault="006E1DB0" w:rsidP="006E1DB0">
      <w:pPr>
        <w:pStyle w:val="Recuodecorpodetexto3"/>
        <w:spacing w:after="0"/>
        <w:ind w:left="0"/>
        <w:rPr>
          <w:b/>
          <w:bCs/>
          <w:sz w:val="16"/>
          <w:szCs w:val="16"/>
        </w:rPr>
      </w:pPr>
      <w:r w:rsidRPr="00485091">
        <w:rPr>
          <w:sz w:val="16"/>
          <w:szCs w:val="16"/>
        </w:rPr>
        <w:t xml:space="preserve">6.1. No recebimento e aceitação de qualquer item, objeto desta Ata de Registro de Preços, serão observadas as especificações contidas no instrumento convocatório. </w:t>
      </w:r>
      <w:r w:rsidRPr="00485091">
        <w:rPr>
          <w:b/>
          <w:bCs/>
          <w:sz w:val="16"/>
          <w:szCs w:val="16"/>
        </w:rPr>
        <w:t> </w:t>
      </w:r>
    </w:p>
    <w:p w:rsidR="006E1DB0" w:rsidRPr="00485091" w:rsidRDefault="006E1DB0" w:rsidP="006E1DB0">
      <w:pPr>
        <w:pStyle w:val="Corpodetexto3"/>
        <w:numPr>
          <w:ilvl w:val="1"/>
          <w:numId w:val="2"/>
        </w:numPr>
        <w:tabs>
          <w:tab w:val="left" w:pos="900"/>
        </w:tabs>
        <w:ind w:right="47"/>
        <w:rPr>
          <w:rFonts w:ascii="Arial" w:hAnsi="Arial" w:cs="Arial"/>
          <w:sz w:val="16"/>
          <w:szCs w:val="16"/>
        </w:rPr>
      </w:pPr>
      <w:r w:rsidRPr="00485091">
        <w:rPr>
          <w:rFonts w:ascii="Arial" w:hAnsi="Arial" w:cs="Arial"/>
          <w:sz w:val="16"/>
          <w:szCs w:val="16"/>
        </w:rPr>
        <w:t xml:space="preserve">Expedida a Nota de Empenho, o recebimento de seu objeto ficará condicionado </w:t>
      </w:r>
      <w:proofErr w:type="gramStart"/>
      <w:r w:rsidRPr="00485091">
        <w:rPr>
          <w:rFonts w:ascii="Arial" w:hAnsi="Arial" w:cs="Arial"/>
          <w:sz w:val="16"/>
          <w:szCs w:val="16"/>
        </w:rPr>
        <w:t>a</w:t>
      </w:r>
      <w:proofErr w:type="gramEnd"/>
      <w:r w:rsidRPr="00485091">
        <w:rPr>
          <w:rFonts w:ascii="Arial" w:hAnsi="Arial" w:cs="Arial"/>
          <w:sz w:val="16"/>
          <w:szCs w:val="16"/>
        </w:rPr>
        <w:t xml:space="preserve"> observância das normas contidas no art. 40, inciso XVI, c/c o art. 73 inciso II, “a” e “b”, da Lei 8.666/93 e alterações.</w:t>
      </w:r>
    </w:p>
    <w:p w:rsidR="006E1DB0" w:rsidRPr="00485091" w:rsidRDefault="006E1DB0" w:rsidP="006E1DB0">
      <w:pPr>
        <w:pStyle w:val="Corpodetexto3"/>
        <w:tabs>
          <w:tab w:val="left" w:pos="900"/>
        </w:tabs>
        <w:ind w:left="360" w:right="47"/>
        <w:rPr>
          <w:rFonts w:ascii="Arial" w:hAnsi="Arial" w:cs="Arial"/>
          <w:sz w:val="16"/>
          <w:szCs w:val="16"/>
        </w:rPr>
      </w:pPr>
    </w:p>
    <w:p w:rsidR="006E1DB0" w:rsidRPr="006A2973" w:rsidRDefault="006E1DB0" w:rsidP="006E1DB0">
      <w:pPr>
        <w:pStyle w:val="Corpodetexto3"/>
        <w:numPr>
          <w:ilvl w:val="1"/>
          <w:numId w:val="2"/>
        </w:numPr>
        <w:tabs>
          <w:tab w:val="left" w:pos="900"/>
        </w:tabs>
        <w:ind w:right="47"/>
        <w:rPr>
          <w:rFonts w:ascii="Arial" w:hAnsi="Arial" w:cs="Arial"/>
          <w:sz w:val="16"/>
          <w:szCs w:val="16"/>
        </w:rPr>
      </w:pPr>
      <w:r w:rsidRPr="006A2973">
        <w:rPr>
          <w:rFonts w:ascii="Arial" w:hAnsi="Arial" w:cs="Arial"/>
          <w:b/>
          <w:sz w:val="16"/>
          <w:szCs w:val="16"/>
        </w:rPr>
        <w:t>PRAZO DE ENTREGA:</w:t>
      </w:r>
      <w:r w:rsidRPr="006A2973">
        <w:rPr>
          <w:rFonts w:ascii="Arial" w:hAnsi="Arial" w:cs="Arial"/>
          <w:sz w:val="16"/>
          <w:szCs w:val="16"/>
        </w:rPr>
        <w:t xml:space="preserve"> </w:t>
      </w:r>
      <w:r w:rsidR="006A2973" w:rsidRPr="006A2973">
        <w:rPr>
          <w:rFonts w:ascii="Arial" w:hAnsi="Arial" w:cs="Arial"/>
          <w:sz w:val="16"/>
          <w:szCs w:val="16"/>
        </w:rPr>
        <w:t>Num prazo máximo de 30 dias a contar do recebimento da nota de empenho</w:t>
      </w:r>
      <w:r w:rsidRPr="006A2973">
        <w:rPr>
          <w:rFonts w:ascii="Arial" w:hAnsi="Arial" w:cs="Arial"/>
          <w:sz w:val="16"/>
          <w:szCs w:val="16"/>
        </w:rPr>
        <w:t>.</w:t>
      </w:r>
    </w:p>
    <w:p w:rsidR="006E1DB0" w:rsidRPr="006A2973" w:rsidRDefault="006E1DB0" w:rsidP="006E1DB0">
      <w:pPr>
        <w:pStyle w:val="Corpodetexto3"/>
        <w:tabs>
          <w:tab w:val="left" w:pos="900"/>
        </w:tabs>
        <w:ind w:right="47"/>
        <w:rPr>
          <w:rFonts w:ascii="Arial" w:hAnsi="Arial" w:cs="Arial"/>
          <w:sz w:val="16"/>
          <w:szCs w:val="16"/>
        </w:rPr>
      </w:pPr>
    </w:p>
    <w:p w:rsidR="006E1DB0" w:rsidRPr="006A2973" w:rsidRDefault="006E1DB0" w:rsidP="006E1DB0">
      <w:pPr>
        <w:pStyle w:val="Corpodetexto3"/>
        <w:numPr>
          <w:ilvl w:val="1"/>
          <w:numId w:val="2"/>
        </w:numPr>
        <w:tabs>
          <w:tab w:val="left" w:pos="900"/>
        </w:tabs>
        <w:ind w:right="47"/>
        <w:rPr>
          <w:rFonts w:ascii="Arial" w:hAnsi="Arial" w:cs="Arial"/>
          <w:b/>
          <w:bCs/>
          <w:sz w:val="16"/>
          <w:szCs w:val="16"/>
        </w:rPr>
      </w:pPr>
      <w:r w:rsidRPr="006A2973">
        <w:rPr>
          <w:rFonts w:ascii="Arial" w:hAnsi="Arial" w:cs="Arial"/>
          <w:b/>
          <w:sz w:val="16"/>
          <w:szCs w:val="16"/>
        </w:rPr>
        <w:lastRenderedPageBreak/>
        <w:t>LOCAL DE ENTREGA/HORÁRIO:</w:t>
      </w:r>
      <w:r w:rsidRPr="006A2973">
        <w:rPr>
          <w:rFonts w:ascii="Arial" w:hAnsi="Arial" w:cs="Arial"/>
          <w:sz w:val="16"/>
          <w:szCs w:val="16"/>
        </w:rPr>
        <w:t xml:space="preserve"> </w:t>
      </w:r>
      <w:r w:rsidR="006A2973" w:rsidRPr="006A2973">
        <w:rPr>
          <w:rFonts w:ascii="Arial" w:hAnsi="Arial" w:cs="Arial"/>
          <w:bCs/>
          <w:sz w:val="16"/>
          <w:szCs w:val="16"/>
        </w:rPr>
        <w:t xml:space="preserve">Os materiais deverão ser entregues no Almoxarifado da Secretaria de Estado de Justiça - SEJUS/RO, Localizado na Rua da Peroba, 5400, Bairro: </w:t>
      </w:r>
      <w:proofErr w:type="spellStart"/>
      <w:proofErr w:type="gramStart"/>
      <w:r w:rsidR="006A2973" w:rsidRPr="006A2973">
        <w:rPr>
          <w:rFonts w:ascii="Arial" w:hAnsi="Arial" w:cs="Arial"/>
          <w:bCs/>
          <w:sz w:val="16"/>
          <w:szCs w:val="16"/>
        </w:rPr>
        <w:t>Cohab</w:t>
      </w:r>
      <w:proofErr w:type="spellEnd"/>
      <w:proofErr w:type="gramEnd"/>
      <w:r w:rsidR="006A2973" w:rsidRPr="006A2973">
        <w:rPr>
          <w:rFonts w:ascii="Arial" w:hAnsi="Arial" w:cs="Arial"/>
          <w:bCs/>
          <w:sz w:val="16"/>
          <w:szCs w:val="16"/>
        </w:rPr>
        <w:t xml:space="preserve"> Floresta - Porto Velho RO, c</w:t>
      </w:r>
      <w:r w:rsidR="006A2973" w:rsidRPr="006A2973">
        <w:rPr>
          <w:rFonts w:ascii="Arial" w:hAnsi="Arial" w:cs="Arial"/>
          <w:sz w:val="16"/>
          <w:szCs w:val="16"/>
        </w:rPr>
        <w:t>om Horário de Funcionamento das 07h30min ás 13h30min de segunda a sexta-feira, com acuse de recebimento, como nas formas habituais</w:t>
      </w:r>
      <w:r w:rsidRPr="006A2973">
        <w:rPr>
          <w:rFonts w:ascii="Arial" w:hAnsi="Arial" w:cs="Arial"/>
          <w:kern w:val="36"/>
          <w:sz w:val="16"/>
          <w:szCs w:val="16"/>
        </w:rPr>
        <w:t>.</w:t>
      </w:r>
    </w:p>
    <w:p w:rsidR="00485091" w:rsidRPr="00485091" w:rsidRDefault="00485091" w:rsidP="00485091">
      <w:pPr>
        <w:pStyle w:val="PargrafodaLista"/>
        <w:rPr>
          <w:rFonts w:ascii="Arial" w:hAnsi="Arial" w:cs="Arial"/>
          <w:b/>
          <w:bCs/>
          <w:sz w:val="16"/>
          <w:szCs w:val="16"/>
        </w:rPr>
      </w:pPr>
    </w:p>
    <w:p w:rsidR="006E1DB0" w:rsidRDefault="006E1DB0"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041829" w:rsidRPr="00485091" w:rsidRDefault="00041829" w:rsidP="00EA06CB">
      <w:pPr>
        <w:pStyle w:val="Lista2"/>
        <w:ind w:left="0" w:firstLine="0"/>
        <w:jc w:val="both"/>
        <w:rPr>
          <w:b/>
          <w:bCs/>
          <w:sz w:val="16"/>
          <w:szCs w:val="16"/>
        </w:rPr>
      </w:pPr>
    </w:p>
    <w:p w:rsidR="006A2973" w:rsidRPr="006A2973" w:rsidRDefault="006A2973" w:rsidP="006A2973">
      <w:pPr>
        <w:rPr>
          <w:rFonts w:ascii="Arial" w:hAnsi="Arial" w:cs="Arial"/>
          <w:sz w:val="16"/>
          <w:szCs w:val="16"/>
        </w:rPr>
      </w:pPr>
      <w:r w:rsidRPr="006A2973">
        <w:rPr>
          <w:rFonts w:ascii="Arial" w:hAnsi="Arial" w:cs="Arial"/>
          <w:sz w:val="16"/>
          <w:szCs w:val="16"/>
        </w:rPr>
        <w:t>(Base Legal: art. 40, inciso III da Lei 8.666/93; art. 9º, V c/c § 2º do Decreto 5450/05; art. 3º, I, Lei 10520/02</w:t>
      </w:r>
      <w:proofErr w:type="gramStart"/>
      <w:r w:rsidRPr="006A2973">
        <w:rPr>
          <w:rFonts w:ascii="Arial" w:hAnsi="Arial" w:cs="Arial"/>
          <w:sz w:val="16"/>
          <w:szCs w:val="16"/>
        </w:rPr>
        <w:t>)</w:t>
      </w:r>
      <w:proofErr w:type="gramEnd"/>
    </w:p>
    <w:p w:rsidR="006A2973" w:rsidRPr="006A2973" w:rsidRDefault="006A2973" w:rsidP="006A2973">
      <w:pPr>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9.1. Além daquelas determinadas por leis, decretos, regulamentos e demais dispositivos legais, a CONTRATADA estará sujeita a:</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A2973">
        <w:rPr>
          <w:rFonts w:ascii="Arial" w:hAnsi="Arial" w:cs="Arial"/>
          <w:sz w:val="16"/>
          <w:szCs w:val="16"/>
        </w:rPr>
        <w:t>descredenciado no Cadastro de Fornecedores Estadual</w:t>
      </w:r>
      <w:proofErr w:type="gramEnd"/>
      <w:r w:rsidRPr="006A2973">
        <w:rPr>
          <w:rFonts w:ascii="Arial" w:hAnsi="Arial" w:cs="Arial"/>
          <w:sz w:val="16"/>
          <w:szCs w:val="16"/>
        </w:rPr>
        <w:t>, pelo prazo de até 05 (cinco) anos, sem prejuízo das multas previstas no Edital e das demais cominações legais, devendo ser incluída a penalidade no SICAF e no CAGEFIMP (Cadastro Estadual de Fornecedores Impedidos de Licitar).</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9.6. As multas previstas nesta seção não eximem a adjudicatária ou contratada da reparação dos eventuais danos, perdas ou prejuízos que seu ato punível venha causar à Administração.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9.9. São exemplos de infração administrativa penalizáveis, nos termos da Lei nº 8.666, de 1993, da Lei nº 10.520, de 2002, do Decreto nº 3.555, de 2000, e do Decreto nº 5.450, de 2005:</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a) Inexecução total ou parcial do contrato;</w:t>
      </w:r>
    </w:p>
    <w:p w:rsidR="006A2973" w:rsidRPr="006A2973" w:rsidRDefault="006A2973" w:rsidP="006A2973">
      <w:pPr>
        <w:jc w:val="both"/>
        <w:rPr>
          <w:rFonts w:ascii="Arial" w:hAnsi="Arial" w:cs="Arial"/>
          <w:sz w:val="16"/>
          <w:szCs w:val="16"/>
        </w:rPr>
      </w:pPr>
      <w:r w:rsidRPr="006A2973">
        <w:rPr>
          <w:rFonts w:ascii="Arial" w:hAnsi="Arial" w:cs="Arial"/>
          <w:sz w:val="16"/>
          <w:szCs w:val="16"/>
        </w:rPr>
        <w:t>b) Apresentação de documentação falsa;</w:t>
      </w:r>
    </w:p>
    <w:p w:rsidR="006A2973" w:rsidRPr="006A2973" w:rsidRDefault="006A2973" w:rsidP="006A2973">
      <w:pPr>
        <w:jc w:val="both"/>
        <w:rPr>
          <w:rFonts w:ascii="Arial" w:hAnsi="Arial" w:cs="Arial"/>
          <w:sz w:val="16"/>
          <w:szCs w:val="16"/>
        </w:rPr>
      </w:pPr>
      <w:r w:rsidRPr="006A2973">
        <w:rPr>
          <w:rFonts w:ascii="Arial" w:hAnsi="Arial" w:cs="Arial"/>
          <w:sz w:val="16"/>
          <w:szCs w:val="16"/>
        </w:rPr>
        <w:t>c) Comportamento inidôneo;</w:t>
      </w:r>
    </w:p>
    <w:p w:rsidR="006A2973" w:rsidRPr="006A2973" w:rsidRDefault="006A2973" w:rsidP="006A2973">
      <w:pPr>
        <w:jc w:val="both"/>
        <w:rPr>
          <w:rFonts w:ascii="Arial" w:hAnsi="Arial" w:cs="Arial"/>
          <w:sz w:val="16"/>
          <w:szCs w:val="16"/>
        </w:rPr>
      </w:pPr>
      <w:r w:rsidRPr="006A2973">
        <w:rPr>
          <w:rFonts w:ascii="Arial" w:hAnsi="Arial" w:cs="Arial"/>
          <w:sz w:val="16"/>
          <w:szCs w:val="16"/>
        </w:rPr>
        <w:t>d) Fraude fiscal;</w:t>
      </w:r>
    </w:p>
    <w:p w:rsidR="006A2973" w:rsidRPr="006A2973" w:rsidRDefault="006A2973" w:rsidP="006A2973">
      <w:pPr>
        <w:jc w:val="both"/>
        <w:rPr>
          <w:rFonts w:ascii="Arial" w:hAnsi="Arial" w:cs="Arial"/>
          <w:sz w:val="16"/>
          <w:szCs w:val="16"/>
        </w:rPr>
      </w:pPr>
      <w:r w:rsidRPr="006A2973">
        <w:rPr>
          <w:rFonts w:ascii="Arial" w:hAnsi="Arial" w:cs="Arial"/>
          <w:sz w:val="16"/>
          <w:szCs w:val="16"/>
        </w:rPr>
        <w:t>e) Descumprimento de qualquer dos deveres elencados no Edital ou no Contrato.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9.10. As sanções serão aplicadas sem prejuízo da responsabilidade civil e criminal que possa ser acionada em desfavor da Contratada, conforme infração cometida e prejuízos causados à administração ou a terceiros.</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p w:rsidR="006A2973" w:rsidRPr="006A2973" w:rsidRDefault="006A2973" w:rsidP="006A2973">
      <w:pPr>
        <w:rPr>
          <w:rFonts w:ascii="Arial" w:hAnsi="Arial" w:cs="Arial"/>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6378"/>
        <w:gridCol w:w="1134"/>
        <w:gridCol w:w="963"/>
      </w:tblGrid>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r w:rsidRPr="006A2973">
              <w:rPr>
                <w:rFonts w:ascii="Arial" w:hAnsi="Arial" w:cs="Arial"/>
                <w:b/>
                <w:sz w:val="16"/>
                <w:szCs w:val="16"/>
              </w:rPr>
              <w:t>Item</w:t>
            </w:r>
          </w:p>
        </w:tc>
        <w:tc>
          <w:tcPr>
            <w:tcW w:w="6378"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r w:rsidRPr="006A2973">
              <w:rPr>
                <w:rFonts w:ascii="Arial" w:hAnsi="Arial" w:cs="Arial"/>
                <w:b/>
                <w:sz w:val="16"/>
                <w:szCs w:val="16"/>
              </w:rPr>
              <w:t>Descrição da infração</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r w:rsidRPr="006A2973">
              <w:rPr>
                <w:rFonts w:ascii="Arial" w:hAnsi="Arial" w:cs="Arial"/>
                <w:b/>
                <w:sz w:val="16"/>
                <w:szCs w:val="16"/>
              </w:rPr>
              <w:t>Grau</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r w:rsidRPr="006A2973">
              <w:rPr>
                <w:rFonts w:ascii="Arial" w:hAnsi="Arial" w:cs="Arial"/>
                <w:b/>
                <w:sz w:val="16"/>
                <w:szCs w:val="16"/>
              </w:rPr>
              <w:t>Multa*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1</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 xml:space="preserve">Permitir situação que crie a possibilidade ou cause dano físico, lesão corporal ou consequências letais; por </w:t>
            </w:r>
            <w:proofErr w:type="gramStart"/>
            <w:r w:rsidRPr="006A2973">
              <w:rPr>
                <w:rFonts w:ascii="Arial" w:hAnsi="Arial" w:cs="Arial"/>
                <w:sz w:val="16"/>
                <w:szCs w:val="16"/>
              </w:rPr>
              <w:t>ocorrência</w:t>
            </w:r>
            <w:proofErr w:type="gramEnd"/>
            <w:r w:rsidRPr="006A2973">
              <w:rPr>
                <w:rFonts w:ascii="Arial" w:hAnsi="Arial" w:cs="Arial"/>
                <w:sz w:val="16"/>
                <w:szCs w:val="16"/>
              </w:rPr>
              <w:t xml:space="preserve"> </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06</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4,0 %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2</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 xml:space="preserve">Usar indevidamente informações sigilosas a que teve acesso; por </w:t>
            </w:r>
            <w:proofErr w:type="gramStart"/>
            <w:r w:rsidRPr="006A2973">
              <w:rPr>
                <w:rFonts w:ascii="Arial" w:hAnsi="Arial" w:cs="Arial"/>
                <w:sz w:val="16"/>
                <w:szCs w:val="16"/>
              </w:rPr>
              <w:t>ocorrência</w:t>
            </w:r>
            <w:proofErr w:type="gramEnd"/>
            <w:r w:rsidRPr="006A2973">
              <w:rPr>
                <w:rFonts w:ascii="Arial" w:hAnsi="Arial" w:cs="Arial"/>
                <w:sz w:val="16"/>
                <w:szCs w:val="16"/>
              </w:rPr>
              <w:t xml:space="preserve"> </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06</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4,0 %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lastRenderedPageBreak/>
              <w:t>3</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Suspender ou interromper, salvo por motivo de força maior ou caso fortuito, os casos contratuais por dia e por unidade de atendimento;</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05</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3,2 %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4</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 xml:space="preserve">Destruir ou danificar documentos por culpa ou dolo de seus agentes; por </w:t>
            </w:r>
            <w:proofErr w:type="gramStart"/>
            <w:r w:rsidRPr="006A2973">
              <w:rPr>
                <w:rFonts w:ascii="Arial" w:hAnsi="Arial" w:cs="Arial"/>
                <w:sz w:val="16"/>
                <w:szCs w:val="16"/>
              </w:rPr>
              <w:t>ocorrência</w:t>
            </w:r>
            <w:proofErr w:type="gramEnd"/>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05</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3,2 %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5</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Recusar-se a fornecer o material, sem motivo justificado, por ocorrência;</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04</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1,6 %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6</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Fornecer material incompleto, paliativo substitutivo como por caráter permanente, ou deixar de providenciar recomposição complementar, por ocorrência;</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02</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0,4 % por dia</w:t>
            </w:r>
          </w:p>
        </w:tc>
      </w:tr>
      <w:tr w:rsidR="006A2973" w:rsidRPr="006A2973" w:rsidTr="00065321">
        <w:trPr>
          <w:jc w:val="center"/>
        </w:trPr>
        <w:tc>
          <w:tcPr>
            <w:tcW w:w="9171" w:type="dxa"/>
            <w:gridSpan w:val="4"/>
            <w:vAlign w:val="center"/>
          </w:tcPr>
          <w:p w:rsidR="006A2973" w:rsidRPr="006A2973" w:rsidRDefault="006A2973" w:rsidP="00065321">
            <w:pPr>
              <w:tabs>
                <w:tab w:val="left" w:pos="567"/>
              </w:tabs>
              <w:suppressAutoHyphens/>
              <w:spacing w:line="360" w:lineRule="auto"/>
              <w:rPr>
                <w:rFonts w:ascii="Arial" w:hAnsi="Arial" w:cs="Arial"/>
                <w:b/>
                <w:sz w:val="16"/>
                <w:szCs w:val="16"/>
              </w:rPr>
            </w:pPr>
            <w:r w:rsidRPr="006A2973">
              <w:rPr>
                <w:rFonts w:ascii="Arial" w:hAnsi="Arial" w:cs="Arial"/>
                <w:b/>
                <w:sz w:val="16"/>
                <w:szCs w:val="16"/>
              </w:rPr>
              <w:t>Para os itens a seguir, DEIXAR DE:</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7</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03</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0,8 %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8</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Cumprir determinação formal ou instrução complementar da FISCALIZAÇÃO, por ocorrência;</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03</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0,8 %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proofErr w:type="gramStart"/>
            <w:r w:rsidRPr="006A2973">
              <w:rPr>
                <w:rFonts w:ascii="Arial" w:hAnsi="Arial" w:cs="Arial"/>
                <w:b/>
                <w:sz w:val="16"/>
                <w:szCs w:val="16"/>
              </w:rPr>
              <w:t>9</w:t>
            </w:r>
            <w:proofErr w:type="gramEnd"/>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Iniciar o fornecimento nos prazos estabelecidos, observados os limites mínimos estabelecidos por esse contrato; por serviço, por ocorrência;</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02</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0,4 %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r w:rsidRPr="006A2973">
              <w:rPr>
                <w:rFonts w:ascii="Arial" w:hAnsi="Arial" w:cs="Arial"/>
                <w:b/>
                <w:sz w:val="16"/>
                <w:szCs w:val="16"/>
              </w:rPr>
              <w:t>10</w:t>
            </w:r>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Ressarcir o órgão por eventuais danos causados por sua culpa, em veículos, equipamentos, dados, etc.</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02</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0,4 % por dia</w:t>
            </w:r>
          </w:p>
        </w:tc>
      </w:tr>
      <w:tr w:rsidR="006A2973" w:rsidRPr="006A2973" w:rsidTr="00065321">
        <w:trPr>
          <w:jc w:val="center"/>
        </w:trPr>
        <w:tc>
          <w:tcPr>
            <w:tcW w:w="696" w:type="dxa"/>
            <w:vAlign w:val="center"/>
          </w:tcPr>
          <w:p w:rsidR="006A2973" w:rsidRPr="006A2973" w:rsidRDefault="006A2973" w:rsidP="00065321">
            <w:pPr>
              <w:tabs>
                <w:tab w:val="left" w:pos="567"/>
              </w:tabs>
              <w:suppressAutoHyphens/>
              <w:spacing w:line="360" w:lineRule="auto"/>
              <w:jc w:val="center"/>
              <w:rPr>
                <w:rFonts w:ascii="Arial" w:hAnsi="Arial" w:cs="Arial"/>
                <w:b/>
                <w:sz w:val="16"/>
                <w:szCs w:val="16"/>
              </w:rPr>
            </w:pPr>
            <w:r w:rsidRPr="006A2973">
              <w:rPr>
                <w:rFonts w:ascii="Arial" w:hAnsi="Arial" w:cs="Arial"/>
                <w:b/>
                <w:sz w:val="16"/>
                <w:szCs w:val="16"/>
              </w:rPr>
              <w:t>11</w:t>
            </w:r>
          </w:p>
        </w:tc>
        <w:tc>
          <w:tcPr>
            <w:tcW w:w="6378" w:type="dxa"/>
            <w:vAlign w:val="center"/>
          </w:tcPr>
          <w:p w:rsidR="006A2973" w:rsidRPr="006A2973" w:rsidRDefault="006A2973" w:rsidP="00065321">
            <w:pPr>
              <w:tabs>
                <w:tab w:val="left" w:pos="567"/>
              </w:tabs>
              <w:suppressAutoHyphens/>
              <w:spacing w:line="360" w:lineRule="auto"/>
              <w:jc w:val="both"/>
              <w:rPr>
                <w:rFonts w:ascii="Arial" w:hAnsi="Arial" w:cs="Arial"/>
                <w:sz w:val="16"/>
                <w:szCs w:val="16"/>
              </w:rPr>
            </w:pPr>
            <w:r w:rsidRPr="006A2973">
              <w:rPr>
                <w:rFonts w:ascii="Arial" w:hAnsi="Arial" w:cs="Arial"/>
                <w:sz w:val="16"/>
                <w:szCs w:val="16"/>
              </w:rPr>
              <w:t>Manter a documentação de habilitação atualizada; por item, por ocorrência;</w:t>
            </w:r>
          </w:p>
        </w:tc>
        <w:tc>
          <w:tcPr>
            <w:tcW w:w="1134"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01</w:t>
            </w:r>
          </w:p>
        </w:tc>
        <w:tc>
          <w:tcPr>
            <w:tcW w:w="963" w:type="dxa"/>
            <w:vAlign w:val="center"/>
          </w:tcPr>
          <w:p w:rsidR="006A2973" w:rsidRPr="006A2973" w:rsidRDefault="006A2973" w:rsidP="00065321">
            <w:pPr>
              <w:tabs>
                <w:tab w:val="left" w:pos="567"/>
              </w:tabs>
              <w:suppressAutoHyphens/>
              <w:spacing w:line="360" w:lineRule="auto"/>
              <w:jc w:val="center"/>
              <w:rPr>
                <w:rFonts w:ascii="Arial" w:hAnsi="Arial" w:cs="Arial"/>
                <w:sz w:val="16"/>
                <w:szCs w:val="16"/>
              </w:rPr>
            </w:pPr>
            <w:r w:rsidRPr="006A2973">
              <w:rPr>
                <w:rFonts w:ascii="Arial" w:hAnsi="Arial" w:cs="Arial"/>
                <w:sz w:val="16"/>
                <w:szCs w:val="16"/>
              </w:rPr>
              <w:t>0,2 % por dia</w:t>
            </w:r>
          </w:p>
        </w:tc>
      </w:tr>
    </w:tbl>
    <w:p w:rsidR="006A2973" w:rsidRPr="006A2973" w:rsidRDefault="006A2973" w:rsidP="006A2973">
      <w:pPr>
        <w:pStyle w:val="PargrafodaLista"/>
        <w:suppressAutoHyphens/>
        <w:spacing w:line="360" w:lineRule="auto"/>
        <w:ind w:left="0"/>
        <w:rPr>
          <w:rFonts w:ascii="Arial" w:hAnsi="Arial" w:cs="Arial"/>
          <w:sz w:val="16"/>
          <w:szCs w:val="16"/>
        </w:rPr>
      </w:pPr>
      <w:r w:rsidRPr="006A2973">
        <w:rPr>
          <w:rFonts w:ascii="Arial" w:hAnsi="Arial" w:cs="Arial"/>
          <w:sz w:val="16"/>
          <w:szCs w:val="16"/>
        </w:rPr>
        <w:tab/>
      </w:r>
      <w:r w:rsidRPr="006A2973">
        <w:rPr>
          <w:rFonts w:ascii="Arial" w:hAnsi="Arial" w:cs="Arial"/>
          <w:sz w:val="16"/>
          <w:szCs w:val="16"/>
        </w:rPr>
        <w:tab/>
      </w:r>
      <w:r w:rsidRPr="006A2973">
        <w:rPr>
          <w:rFonts w:ascii="Arial" w:hAnsi="Arial" w:cs="Arial"/>
          <w:sz w:val="16"/>
          <w:szCs w:val="16"/>
        </w:rPr>
        <w:tab/>
        <w:t>* Sobre a parte inadimplida</w:t>
      </w:r>
    </w:p>
    <w:p w:rsidR="006A2973" w:rsidRPr="006A2973" w:rsidRDefault="006A2973" w:rsidP="006A2973">
      <w:pPr>
        <w:pStyle w:val="PargrafodaLista"/>
        <w:suppressAutoHyphens/>
        <w:ind w:left="0"/>
        <w:jc w:val="both"/>
        <w:rPr>
          <w:rFonts w:ascii="Arial" w:hAnsi="Arial" w:cs="Arial"/>
          <w:sz w:val="16"/>
          <w:szCs w:val="16"/>
        </w:rPr>
      </w:pPr>
      <w:r w:rsidRPr="006A2973">
        <w:rPr>
          <w:rFonts w:ascii="Arial" w:hAnsi="Arial" w:cs="Arial"/>
          <w:sz w:val="16"/>
          <w:szCs w:val="16"/>
        </w:rPr>
        <w:t xml:space="preserve">9.12. As sanções aqui previstas poderão ser aplicadas concomitantemente, facultada a defesa prévia do interessado, no respectivo processo, no prazo de </w:t>
      </w:r>
      <w:r w:rsidRPr="006A2973">
        <w:rPr>
          <w:rFonts w:ascii="Arial" w:hAnsi="Arial" w:cs="Arial"/>
          <w:b/>
          <w:sz w:val="16"/>
          <w:szCs w:val="16"/>
        </w:rPr>
        <w:t>05 (cinco) dias úteis</w:t>
      </w:r>
      <w:r w:rsidRPr="006A2973">
        <w:rPr>
          <w:rFonts w:ascii="Arial" w:hAnsi="Arial" w:cs="Arial"/>
          <w:sz w:val="16"/>
          <w:szCs w:val="16"/>
        </w:rPr>
        <w:t>.</w:t>
      </w: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sz w:val="16"/>
          <w:szCs w:val="16"/>
        </w:rPr>
      </w:pP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sz w:val="16"/>
          <w:szCs w:val="16"/>
        </w:rPr>
      </w:pPr>
      <w:r w:rsidRPr="006A2973">
        <w:rPr>
          <w:rFonts w:ascii="Arial" w:hAnsi="Arial" w:cs="Arial"/>
          <w:sz w:val="16"/>
          <w:szCs w:val="16"/>
        </w:rPr>
        <w:t xml:space="preserve">9.13. Após </w:t>
      </w:r>
      <w:r w:rsidRPr="006A2973">
        <w:rPr>
          <w:rFonts w:ascii="Arial" w:hAnsi="Arial" w:cs="Arial"/>
          <w:b/>
          <w:sz w:val="16"/>
          <w:szCs w:val="16"/>
        </w:rPr>
        <w:t>30 (trinta) dias</w:t>
      </w:r>
      <w:r w:rsidRPr="006A2973">
        <w:rPr>
          <w:rFonts w:ascii="Arial" w:hAnsi="Arial" w:cs="Arial"/>
          <w:sz w:val="16"/>
          <w:szCs w:val="16"/>
        </w:rPr>
        <w:t xml:space="preserve"> da falta de execução do objeto, será considerada inexecução total do contrato, o que ensejará a rescisão contratual;</w:t>
      </w: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sz w:val="16"/>
          <w:szCs w:val="16"/>
        </w:rPr>
      </w:pP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sz w:val="16"/>
          <w:szCs w:val="16"/>
        </w:rPr>
      </w:pPr>
      <w:r w:rsidRPr="006A2973">
        <w:rPr>
          <w:rFonts w:ascii="Arial" w:hAnsi="Arial" w:cs="Arial"/>
          <w:sz w:val="16"/>
          <w:szCs w:val="16"/>
        </w:rPr>
        <w:t>9.14. As sanções de natureza pecuniária serão diretamente descontadas de créditos que eventualmente detenha a Contratada ou efetuada a sua cobrança na forma prevista em lei.</w:t>
      </w: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sz w:val="16"/>
          <w:szCs w:val="16"/>
        </w:rPr>
      </w:pP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b/>
          <w:sz w:val="16"/>
          <w:szCs w:val="16"/>
        </w:rPr>
      </w:pPr>
      <w:r w:rsidRPr="006A2973">
        <w:rPr>
          <w:rFonts w:ascii="Arial" w:hAnsi="Arial" w:cs="Arial"/>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sz w:val="16"/>
          <w:szCs w:val="16"/>
        </w:rPr>
      </w:pP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b/>
          <w:sz w:val="16"/>
          <w:szCs w:val="16"/>
        </w:rPr>
      </w:pPr>
      <w:r w:rsidRPr="006A2973">
        <w:rPr>
          <w:rFonts w:ascii="Arial" w:hAnsi="Arial" w:cs="Arial"/>
          <w:sz w:val="16"/>
          <w:szCs w:val="16"/>
        </w:rPr>
        <w:t>9.16. A autoridade competente, na aplicação das sanções, levará em consideração a gravidade da conduta do infrator, o caráter educativo da pena, bem como o dano causado à Administração, observando o princípio da proporcionalidade.</w:t>
      </w: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sz w:val="16"/>
          <w:szCs w:val="16"/>
        </w:rPr>
      </w:pPr>
    </w:p>
    <w:p w:rsidR="006A2973" w:rsidRPr="006A2973" w:rsidRDefault="006A2973" w:rsidP="006A2973">
      <w:pPr>
        <w:pStyle w:val="PargrafodaLista"/>
        <w:suppressAutoHyphens/>
        <w:autoSpaceDE w:val="0"/>
        <w:autoSpaceDN w:val="0"/>
        <w:adjustRightInd w:val="0"/>
        <w:spacing w:before="240" w:after="240"/>
        <w:ind w:left="0"/>
        <w:jc w:val="both"/>
        <w:rPr>
          <w:rFonts w:ascii="Arial" w:hAnsi="Arial" w:cs="Arial"/>
          <w:b/>
          <w:sz w:val="16"/>
          <w:szCs w:val="16"/>
        </w:rPr>
      </w:pPr>
      <w:r w:rsidRPr="006A2973">
        <w:rPr>
          <w:rFonts w:ascii="Arial" w:hAnsi="Arial" w:cs="Arial"/>
          <w:sz w:val="16"/>
          <w:szCs w:val="16"/>
        </w:rPr>
        <w:t xml:space="preserve">9.17. A sanção será obrigatoriamente registrada no </w:t>
      </w:r>
      <w:r w:rsidRPr="006A2973">
        <w:rPr>
          <w:rFonts w:ascii="Arial" w:hAnsi="Arial" w:cs="Arial"/>
          <w:b/>
          <w:sz w:val="16"/>
          <w:szCs w:val="16"/>
        </w:rPr>
        <w:t>Sistema de Cadastramento Unificado de Fornecedores – SICAF</w:t>
      </w:r>
      <w:r w:rsidRPr="006A2973">
        <w:rPr>
          <w:rFonts w:ascii="Arial" w:hAnsi="Arial" w:cs="Arial"/>
          <w:sz w:val="16"/>
          <w:szCs w:val="16"/>
        </w:rPr>
        <w:t>, bem como em sistemas Estaduais.</w:t>
      </w:r>
    </w:p>
    <w:p w:rsidR="006A2973" w:rsidRPr="006A2973" w:rsidRDefault="006A2973" w:rsidP="006A2973">
      <w:pPr>
        <w:pStyle w:val="PargrafodaLista"/>
        <w:suppressAutoHyphens/>
        <w:autoSpaceDE w:val="0"/>
        <w:autoSpaceDN w:val="0"/>
        <w:adjustRightInd w:val="0"/>
        <w:spacing w:before="240"/>
        <w:ind w:left="0"/>
        <w:jc w:val="both"/>
        <w:rPr>
          <w:rFonts w:ascii="Arial" w:hAnsi="Arial" w:cs="Arial"/>
          <w:sz w:val="16"/>
          <w:szCs w:val="16"/>
        </w:rPr>
      </w:pPr>
    </w:p>
    <w:p w:rsidR="006A2973" w:rsidRPr="006A2973" w:rsidRDefault="006A2973" w:rsidP="006A2973">
      <w:pPr>
        <w:pStyle w:val="PargrafodaLista"/>
        <w:suppressAutoHyphens/>
        <w:autoSpaceDE w:val="0"/>
        <w:autoSpaceDN w:val="0"/>
        <w:adjustRightInd w:val="0"/>
        <w:spacing w:before="240"/>
        <w:ind w:left="0"/>
        <w:jc w:val="both"/>
        <w:rPr>
          <w:rFonts w:ascii="Arial" w:hAnsi="Arial" w:cs="Arial"/>
          <w:sz w:val="16"/>
          <w:szCs w:val="16"/>
        </w:rPr>
      </w:pPr>
      <w:r w:rsidRPr="006A2973">
        <w:rPr>
          <w:rFonts w:ascii="Arial" w:hAnsi="Arial" w:cs="Arial"/>
          <w:sz w:val="16"/>
          <w:szCs w:val="16"/>
        </w:rPr>
        <w:t>9.18.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6A2973" w:rsidRPr="006A2973" w:rsidRDefault="006A2973" w:rsidP="006A2973">
      <w:pPr>
        <w:pStyle w:val="PargrafodaLista"/>
        <w:suppressAutoHyphens/>
        <w:autoSpaceDE w:val="0"/>
        <w:autoSpaceDN w:val="0"/>
        <w:adjustRightInd w:val="0"/>
        <w:spacing w:before="240"/>
        <w:ind w:left="0"/>
        <w:jc w:val="both"/>
        <w:rPr>
          <w:rFonts w:ascii="Arial" w:hAnsi="Arial" w:cs="Arial"/>
          <w:sz w:val="16"/>
          <w:szCs w:val="16"/>
        </w:rPr>
      </w:pPr>
    </w:p>
    <w:p w:rsidR="006A2973" w:rsidRPr="006A2973" w:rsidRDefault="006A2973" w:rsidP="006A2973">
      <w:pPr>
        <w:pStyle w:val="PargrafodaLista"/>
        <w:suppressAutoHyphens/>
        <w:autoSpaceDE w:val="0"/>
        <w:autoSpaceDN w:val="0"/>
        <w:adjustRightInd w:val="0"/>
        <w:spacing w:before="240"/>
        <w:ind w:left="0"/>
        <w:jc w:val="both"/>
        <w:rPr>
          <w:rFonts w:ascii="Arial" w:hAnsi="Arial" w:cs="Arial"/>
          <w:b/>
          <w:sz w:val="16"/>
          <w:szCs w:val="16"/>
        </w:rPr>
      </w:pPr>
      <w:r w:rsidRPr="006A2973">
        <w:rPr>
          <w:rFonts w:ascii="Arial" w:hAnsi="Arial" w:cs="Arial"/>
          <w:sz w:val="16"/>
          <w:szCs w:val="16"/>
        </w:rPr>
        <w:t>a) Tenham sofrido condenações definitivas por praticarem, por meio dolosos, fraude fiscal no recolhimento de tributos;</w:t>
      </w:r>
    </w:p>
    <w:p w:rsidR="006A2973" w:rsidRPr="006A2973" w:rsidRDefault="006A2973" w:rsidP="006A2973">
      <w:pPr>
        <w:suppressAutoHyphens/>
        <w:spacing w:before="240" w:after="240"/>
        <w:contextualSpacing/>
        <w:jc w:val="both"/>
        <w:rPr>
          <w:rFonts w:ascii="Arial" w:hAnsi="Arial" w:cs="Arial"/>
          <w:sz w:val="16"/>
          <w:szCs w:val="16"/>
        </w:rPr>
      </w:pPr>
      <w:r w:rsidRPr="006A2973">
        <w:rPr>
          <w:rFonts w:ascii="Arial" w:hAnsi="Arial" w:cs="Arial"/>
          <w:sz w:val="16"/>
          <w:szCs w:val="16"/>
        </w:rPr>
        <w:t>b) Tenham praticado atos ilícitos visando a frustrar os objetivos da licitação;</w:t>
      </w:r>
    </w:p>
    <w:p w:rsidR="006A2973" w:rsidRPr="006A2973" w:rsidRDefault="006A2973" w:rsidP="006A2973">
      <w:pPr>
        <w:suppressAutoHyphens/>
        <w:spacing w:before="240" w:after="240"/>
        <w:contextualSpacing/>
        <w:jc w:val="both"/>
        <w:rPr>
          <w:rFonts w:ascii="Arial" w:hAnsi="Arial" w:cs="Arial"/>
          <w:sz w:val="16"/>
          <w:szCs w:val="16"/>
        </w:rPr>
      </w:pPr>
    </w:p>
    <w:p w:rsidR="006A2973" w:rsidRPr="006A2973" w:rsidRDefault="006A2973" w:rsidP="006A2973">
      <w:pPr>
        <w:suppressAutoHyphens/>
        <w:spacing w:before="240" w:after="240"/>
        <w:contextualSpacing/>
        <w:jc w:val="both"/>
        <w:rPr>
          <w:rFonts w:ascii="Arial" w:hAnsi="Arial" w:cs="Arial"/>
          <w:sz w:val="16"/>
          <w:szCs w:val="16"/>
        </w:rPr>
      </w:pPr>
      <w:r w:rsidRPr="006A2973">
        <w:rPr>
          <w:rFonts w:ascii="Arial" w:hAnsi="Arial" w:cs="Arial"/>
          <w:sz w:val="16"/>
          <w:szCs w:val="16"/>
        </w:rPr>
        <w:t>c) Demonstrem não possuir idoneidade para contratar com a Administração em virtude de atos ilícitos praticados.</w:t>
      </w:r>
    </w:p>
    <w:p w:rsidR="006A2973" w:rsidRPr="006A2973" w:rsidRDefault="006A2973" w:rsidP="006A2973">
      <w:pPr>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 xml:space="preserve">9.19. A recusa injustificada do adjudicatário em assinar o contrato, aceitar ou retirar o instrumento equivalente, (Nota de Empenho) dentro do prazo estabelecido pela Administração, caracteriza o descumprimento total </w:t>
      </w:r>
      <w:proofErr w:type="gramStart"/>
      <w:r w:rsidRPr="006A2973">
        <w:rPr>
          <w:rFonts w:ascii="Arial" w:hAnsi="Arial" w:cs="Arial"/>
          <w:sz w:val="16"/>
          <w:szCs w:val="16"/>
        </w:rPr>
        <w:t>da</w:t>
      </w:r>
      <w:proofErr w:type="gramEnd"/>
    </w:p>
    <w:p w:rsidR="006A2973" w:rsidRPr="006A2973" w:rsidRDefault="006A2973" w:rsidP="006A2973">
      <w:pPr>
        <w:jc w:val="both"/>
        <w:rPr>
          <w:rFonts w:ascii="Arial" w:hAnsi="Arial" w:cs="Arial"/>
          <w:sz w:val="16"/>
          <w:szCs w:val="16"/>
        </w:rPr>
      </w:pPr>
      <w:proofErr w:type="gramStart"/>
      <w:r w:rsidRPr="006A2973">
        <w:rPr>
          <w:rFonts w:ascii="Arial" w:hAnsi="Arial" w:cs="Arial"/>
          <w:sz w:val="16"/>
          <w:szCs w:val="16"/>
        </w:rPr>
        <w:t>obrigação</w:t>
      </w:r>
      <w:proofErr w:type="gramEnd"/>
      <w:r w:rsidRPr="006A2973">
        <w:rPr>
          <w:rFonts w:ascii="Arial" w:hAnsi="Arial" w:cs="Arial"/>
          <w:sz w:val="16"/>
          <w:szCs w:val="16"/>
        </w:rPr>
        <w:t xml:space="preserve"> assumida, sujeitando-se às penalidades aqui estabelecidas, além das previstas no Termo de Referência.</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9.21. Nenhuma sanção será aplicada sem o devido processo administrativo, que prevê defesa prévia do interessado e recurso nos prazos definidos em Lei, sendo-lhe franqueada vista ao processo.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9.22. O preço registrado poderá ser cancelado pela Administração Pública, nos termos do Artigo 24 e 25 do Decreto 18.340/13, quando: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 xml:space="preserve">9.22.1. A Detentora </w:t>
      </w:r>
      <w:proofErr w:type="gramStart"/>
      <w:r w:rsidRPr="006A2973">
        <w:rPr>
          <w:rFonts w:ascii="Arial" w:hAnsi="Arial" w:cs="Arial"/>
          <w:sz w:val="16"/>
          <w:szCs w:val="16"/>
        </w:rPr>
        <w:t>do Registro deixar</w:t>
      </w:r>
      <w:proofErr w:type="gramEnd"/>
      <w:r w:rsidRPr="006A2973">
        <w:rPr>
          <w:rFonts w:ascii="Arial" w:hAnsi="Arial" w:cs="Arial"/>
          <w:sz w:val="16"/>
          <w:szCs w:val="16"/>
        </w:rPr>
        <w:t xml:space="preserve"> de cumprir total ou parcial as condições da Ata de Registro de Preços.</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9.22.2. A Detentora do Registro não retirar a nota de empenho ou instrumento equivalente no prazo estabelecido, sem justificativa aceita pela Administração;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9.22.3. A detentora incorrer reiteradamente em infrações previstas no Edital;</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 xml:space="preserve">9.22.4. A Detentora </w:t>
      </w:r>
      <w:proofErr w:type="gramStart"/>
      <w:r w:rsidRPr="006A2973">
        <w:rPr>
          <w:rFonts w:ascii="Arial" w:hAnsi="Arial" w:cs="Arial"/>
          <w:sz w:val="16"/>
          <w:szCs w:val="16"/>
        </w:rPr>
        <w:t>do Registro praticar</w:t>
      </w:r>
      <w:proofErr w:type="gramEnd"/>
      <w:r w:rsidRPr="006A2973">
        <w:rPr>
          <w:rFonts w:ascii="Arial" w:hAnsi="Arial" w:cs="Arial"/>
          <w:sz w:val="16"/>
          <w:szCs w:val="16"/>
        </w:rPr>
        <w:t xml:space="preserve"> atos fraudulentos no intuito de auferir</w:t>
      </w:r>
    </w:p>
    <w:p w:rsidR="006A2973" w:rsidRPr="006A2973" w:rsidRDefault="006A2973" w:rsidP="006A2973">
      <w:pPr>
        <w:jc w:val="both"/>
        <w:rPr>
          <w:rFonts w:ascii="Arial" w:hAnsi="Arial" w:cs="Arial"/>
          <w:sz w:val="16"/>
          <w:szCs w:val="16"/>
        </w:rPr>
      </w:pPr>
      <w:proofErr w:type="gramStart"/>
      <w:r w:rsidRPr="006A2973">
        <w:rPr>
          <w:rFonts w:ascii="Arial" w:hAnsi="Arial" w:cs="Arial"/>
          <w:sz w:val="16"/>
          <w:szCs w:val="16"/>
        </w:rPr>
        <w:t>vantagem</w:t>
      </w:r>
      <w:proofErr w:type="gramEnd"/>
      <w:r w:rsidRPr="006A2973">
        <w:rPr>
          <w:rFonts w:ascii="Arial" w:hAnsi="Arial" w:cs="Arial"/>
          <w:sz w:val="16"/>
          <w:szCs w:val="16"/>
        </w:rPr>
        <w:t xml:space="preserve"> ilícita;</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 xml:space="preserve">9.22.5. Não aceitar reduzir o seu preço registrado, na hipótese deste se tornar superior </w:t>
      </w:r>
      <w:proofErr w:type="gramStart"/>
      <w:r w:rsidRPr="006A2973">
        <w:rPr>
          <w:rFonts w:ascii="Arial" w:hAnsi="Arial" w:cs="Arial"/>
          <w:sz w:val="16"/>
          <w:szCs w:val="16"/>
        </w:rPr>
        <w:t>aqueles</w:t>
      </w:r>
      <w:proofErr w:type="gramEnd"/>
      <w:r w:rsidRPr="006A2973">
        <w:rPr>
          <w:rFonts w:ascii="Arial" w:hAnsi="Arial" w:cs="Arial"/>
          <w:sz w:val="16"/>
          <w:szCs w:val="16"/>
        </w:rPr>
        <w:t xml:space="preserve"> praticados no mercador ou sofrer sanção prevista nos incisos III ou IV do caput do artigo 87 da Lei 8.666/93 ou no artigo 7º da Lei 10.520/02.</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9.22.6. Por razões de interesse público, mediante despacho motivado, devidamente justificado.</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lastRenderedPageBreak/>
        <w:t>9.22.7. O cancelamento do registro nas hipóteses dos subitens 9.22.1, 9.22.2, 9.22.5 será formalizado por despacho do órgão gerenciador, assegurado o contraditório e a ampla defesa.</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 xml:space="preserve">9.22.8. O cancelamento do registro nas hipóteses dos </w:t>
      </w:r>
      <w:proofErr w:type="gramStart"/>
      <w:r w:rsidRPr="006A2973">
        <w:rPr>
          <w:rFonts w:ascii="Arial" w:hAnsi="Arial" w:cs="Arial"/>
          <w:sz w:val="16"/>
          <w:szCs w:val="16"/>
        </w:rPr>
        <w:t>sub itens</w:t>
      </w:r>
      <w:proofErr w:type="gramEnd"/>
      <w:r w:rsidRPr="006A2973">
        <w:rPr>
          <w:rFonts w:ascii="Arial" w:hAnsi="Arial" w:cs="Arial"/>
          <w:sz w:val="16"/>
          <w:szCs w:val="16"/>
        </w:rPr>
        <w:t xml:space="preserve"> 9.22.1 e 9.22.2 acarretará ainda a aplicação das penalidades cabíveis, assegurado o contraditório e a ampla defesa.</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 xml:space="preserve">9.22.8. O cancelamento do registro de preços </w:t>
      </w:r>
      <w:proofErr w:type="gramStart"/>
      <w:r w:rsidRPr="006A2973">
        <w:rPr>
          <w:rFonts w:ascii="Arial" w:hAnsi="Arial" w:cs="Arial"/>
          <w:sz w:val="16"/>
          <w:szCs w:val="16"/>
        </w:rPr>
        <w:t>poder</w:t>
      </w:r>
      <w:proofErr w:type="gramEnd"/>
      <w:r w:rsidRPr="006A2973">
        <w:rPr>
          <w:rFonts w:ascii="Arial" w:hAnsi="Arial" w:cs="Arial"/>
          <w:sz w:val="16"/>
          <w:szCs w:val="16"/>
        </w:rPr>
        <w:t xml:space="preserve"> á ocorrer por fato superveniente, decorrente de caso fortuito ou força maior, que prejudique o cumprimento da ata, devidamente comprovados e justificados:</w:t>
      </w:r>
    </w:p>
    <w:p w:rsidR="006A2973" w:rsidRPr="006A2973" w:rsidRDefault="006A2973" w:rsidP="006A2973">
      <w:pPr>
        <w:jc w:val="both"/>
        <w:rPr>
          <w:rFonts w:ascii="Arial" w:hAnsi="Arial" w:cs="Arial"/>
          <w:sz w:val="16"/>
          <w:szCs w:val="16"/>
        </w:rPr>
      </w:pPr>
    </w:p>
    <w:p w:rsidR="006A2973" w:rsidRPr="006A2973" w:rsidRDefault="006A2973" w:rsidP="006A2973">
      <w:pPr>
        <w:jc w:val="both"/>
        <w:rPr>
          <w:rFonts w:ascii="Arial" w:hAnsi="Arial" w:cs="Arial"/>
          <w:sz w:val="16"/>
          <w:szCs w:val="16"/>
        </w:rPr>
      </w:pPr>
      <w:r w:rsidRPr="006A2973">
        <w:rPr>
          <w:rFonts w:ascii="Arial" w:hAnsi="Arial" w:cs="Arial"/>
          <w:sz w:val="16"/>
          <w:szCs w:val="16"/>
        </w:rPr>
        <w:t>9.22.8.1. Por razões de interesse público ou</w:t>
      </w:r>
    </w:p>
    <w:p w:rsidR="006A2973" w:rsidRPr="006A2973" w:rsidRDefault="006A2973" w:rsidP="006A2973">
      <w:pPr>
        <w:jc w:val="both"/>
        <w:rPr>
          <w:rFonts w:ascii="Arial" w:hAnsi="Arial" w:cs="Arial"/>
          <w:sz w:val="16"/>
          <w:szCs w:val="16"/>
        </w:rPr>
      </w:pPr>
    </w:p>
    <w:p w:rsidR="006A2973" w:rsidRPr="006A2973" w:rsidRDefault="006A2973" w:rsidP="006A2973">
      <w:pPr>
        <w:tabs>
          <w:tab w:val="left" w:pos="284"/>
        </w:tabs>
        <w:spacing w:line="276" w:lineRule="auto"/>
        <w:jc w:val="both"/>
        <w:rPr>
          <w:rFonts w:ascii="Arial" w:hAnsi="Arial" w:cs="Arial"/>
          <w:sz w:val="16"/>
          <w:szCs w:val="16"/>
        </w:rPr>
      </w:pPr>
      <w:r w:rsidRPr="006A2973">
        <w:rPr>
          <w:rFonts w:ascii="Arial" w:hAnsi="Arial" w:cs="Arial"/>
          <w:sz w:val="16"/>
          <w:szCs w:val="16"/>
        </w:rPr>
        <w:t xml:space="preserve">9.22.8.2. </w:t>
      </w:r>
      <w:proofErr w:type="gramStart"/>
      <w:r w:rsidRPr="006A2973">
        <w:rPr>
          <w:rFonts w:ascii="Arial" w:hAnsi="Arial" w:cs="Arial"/>
          <w:sz w:val="16"/>
          <w:szCs w:val="16"/>
        </w:rPr>
        <w:t>A pedido</w:t>
      </w:r>
      <w:proofErr w:type="gramEnd"/>
      <w:r w:rsidRPr="006A2973">
        <w:rPr>
          <w:rFonts w:ascii="Arial" w:hAnsi="Arial" w:cs="Arial"/>
          <w:sz w:val="16"/>
          <w:szCs w:val="16"/>
        </w:rPr>
        <w:t xml:space="preserve"> do fornecedor.</w:t>
      </w:r>
    </w:p>
    <w:p w:rsidR="006A2973" w:rsidRDefault="006A2973" w:rsidP="006A2973">
      <w:pPr>
        <w:tabs>
          <w:tab w:val="left" w:pos="284"/>
        </w:tabs>
        <w:spacing w:line="276" w:lineRule="auto"/>
        <w:jc w:val="both"/>
        <w:rPr>
          <w:sz w:val="22"/>
          <w:szCs w:val="22"/>
        </w:rPr>
      </w:pPr>
    </w:p>
    <w:p w:rsidR="00E13289" w:rsidRDefault="00257389" w:rsidP="006A2973">
      <w:pPr>
        <w:tabs>
          <w:tab w:val="left" w:pos="284"/>
        </w:tabs>
        <w:spacing w:line="276" w:lineRule="auto"/>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AB0E51" w:rsidRDefault="00AB0E51" w:rsidP="009D2314">
      <w:pPr>
        <w:jc w:val="both"/>
        <w:rPr>
          <w:rFonts w:ascii="Arial" w:hAnsi="Arial" w:cs="Arial"/>
          <w:sz w:val="16"/>
          <w:szCs w:val="16"/>
        </w:rPr>
      </w:pPr>
    </w:p>
    <w:p w:rsidR="008353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AB0E51" w:rsidRDefault="00AB0E51" w:rsidP="001D515A">
      <w:pPr>
        <w:rPr>
          <w:rFonts w:ascii="Arial" w:hAnsi="Arial" w:cs="Arial"/>
          <w:sz w:val="16"/>
          <w:szCs w:val="16"/>
        </w:rPr>
      </w:pPr>
      <w:r w:rsidRPr="00AB0E51">
        <w:rPr>
          <w:rFonts w:ascii="Arial" w:hAnsi="Arial" w:cs="Arial"/>
          <w:b/>
          <w:sz w:val="16"/>
          <w:szCs w:val="16"/>
        </w:rPr>
        <w:t>SEJUS/RO</w:t>
      </w:r>
      <w:r w:rsidRPr="00AB0E51">
        <w:rPr>
          <w:rFonts w:ascii="Arial" w:hAnsi="Arial" w:cs="Arial"/>
          <w:sz w:val="16"/>
          <w:szCs w:val="16"/>
        </w:rPr>
        <w:t xml:space="preserve"> - Secretaria de Estado de Justiça.</w:t>
      </w:r>
    </w:p>
    <w:p w:rsidR="00AB0E51" w:rsidRPr="009A54D1" w:rsidRDefault="00AB0E51" w:rsidP="001D515A">
      <w:pPr>
        <w:rPr>
          <w:rFonts w:ascii="Arial" w:hAnsi="Arial"/>
          <w:sz w:val="16"/>
          <w:szCs w:val="16"/>
        </w:rPr>
      </w:pPr>
    </w:p>
    <w:p w:rsidR="00AB0E51" w:rsidRDefault="00AB0E51"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AB0E51" w:rsidRDefault="00AB0E51" w:rsidP="009D2314">
      <w:pPr>
        <w:jc w:val="both"/>
        <w:rPr>
          <w:rFonts w:ascii="Arial" w:hAnsi="Arial" w:cs="Arial"/>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485091"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824" w:rsidRDefault="00AF1824">
      <w:r>
        <w:separator/>
      </w:r>
    </w:p>
  </w:endnote>
  <w:endnote w:type="continuationSeparator" w:id="0">
    <w:p w:rsidR="00AF1824" w:rsidRDefault="00AF18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824" w:rsidRDefault="00AF1824">
      <w:r>
        <w:separator/>
      </w:r>
    </w:p>
  </w:footnote>
  <w:footnote w:type="continuationSeparator" w:id="0">
    <w:p w:rsidR="00AF1824" w:rsidRDefault="00AF18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824" w:rsidRDefault="00AF182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B21492F"/>
    <w:multiLevelType w:val="multilevel"/>
    <w:tmpl w:val="8DD0DAD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2395D7D"/>
    <w:multiLevelType w:val="hybridMultilevel"/>
    <w:tmpl w:val="2BC6CA6A"/>
    <w:lvl w:ilvl="0" w:tplc="5786234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67393EE5"/>
    <w:multiLevelType w:val="hybridMultilevel"/>
    <w:tmpl w:val="5B18FCBA"/>
    <w:lvl w:ilvl="0" w:tplc="9EFE0A8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2"/>
  </w:num>
  <w:num w:numId="2">
    <w:abstractNumId w:val="14"/>
  </w:num>
  <w:num w:numId="3">
    <w:abstractNumId w:val="5"/>
  </w:num>
  <w:num w:numId="4">
    <w:abstractNumId w:val="4"/>
  </w:num>
  <w:num w:numId="5">
    <w:abstractNumId w:val="18"/>
  </w:num>
  <w:num w:numId="6">
    <w:abstractNumId w:val="16"/>
  </w:num>
  <w:num w:numId="7">
    <w:abstractNumId w:val="28"/>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3"/>
  </w:num>
  <w:num w:numId="14">
    <w:abstractNumId w:val="30"/>
  </w:num>
  <w:num w:numId="15">
    <w:abstractNumId w:val="1"/>
  </w:num>
  <w:num w:numId="16">
    <w:abstractNumId w:val="2"/>
  </w:num>
  <w:num w:numId="17">
    <w:abstractNumId w:val="11"/>
  </w:num>
  <w:num w:numId="18">
    <w:abstractNumId w:val="9"/>
  </w:num>
  <w:num w:numId="19">
    <w:abstractNumId w:val="21"/>
  </w:num>
  <w:num w:numId="20">
    <w:abstractNumId w:val="6"/>
  </w:num>
  <w:num w:numId="21">
    <w:abstractNumId w:val="8"/>
  </w:num>
  <w:num w:numId="22">
    <w:abstractNumId w:val="15"/>
  </w:num>
  <w:num w:numId="23">
    <w:abstractNumId w:val="20"/>
  </w:num>
  <w:num w:numId="24">
    <w:abstractNumId w:val="24"/>
  </w:num>
  <w:num w:numId="25">
    <w:abstractNumId w:val="17"/>
  </w:num>
  <w:num w:numId="26">
    <w:abstractNumId w:val="27"/>
  </w:num>
  <w:num w:numId="27">
    <w:abstractNumId w:val="19"/>
  </w:num>
  <w:num w:numId="28">
    <w:abstractNumId w:val="25"/>
  </w:num>
  <w:num w:numId="29">
    <w:abstractNumId w:val="26"/>
  </w:num>
  <w:num w:numId="30">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973"/>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0E51"/>
    <w:rsid w:val="00AB70A8"/>
    <w:rsid w:val="00AC04A8"/>
    <w:rsid w:val="00AC4419"/>
    <w:rsid w:val="00AC44D1"/>
    <w:rsid w:val="00AC50A6"/>
    <w:rsid w:val="00AC50A9"/>
    <w:rsid w:val="00AC7004"/>
    <w:rsid w:val="00AD0282"/>
    <w:rsid w:val="00AD3BD6"/>
    <w:rsid w:val="00AD47CE"/>
    <w:rsid w:val="00AE2687"/>
    <w:rsid w:val="00AE399A"/>
    <w:rsid w:val="00AF1824"/>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39B0"/>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0847"/>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aliases w:val="SheParágrafo da Lista Char"/>
    <w:link w:val="PargrafodaLista"/>
    <w:uiPriority w:val="34"/>
    <w:locked/>
    <w:rsid w:val="0048509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1D398-3A1D-4BB8-9A30-3AAA7025F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3482</Words>
  <Characters>19480</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13</cp:revision>
  <cp:lastPrinted>2017-04-12T13:19:00Z</cp:lastPrinted>
  <dcterms:created xsi:type="dcterms:W3CDTF">2017-01-23T12:25:00Z</dcterms:created>
  <dcterms:modified xsi:type="dcterms:W3CDTF">2017-07-24T17:18:00Z</dcterms:modified>
</cp:coreProperties>
</file>