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9A37C5">
        <w:rPr>
          <w:rFonts w:ascii="Arial" w:hAnsi="Arial" w:cs="Arial"/>
          <w:sz w:val="16"/>
          <w:szCs w:val="16"/>
        </w:rPr>
        <w:t xml:space="preserve">N° </w:t>
      </w:r>
      <w:r w:rsidR="009A37C5" w:rsidRPr="009A37C5">
        <w:rPr>
          <w:rFonts w:ascii="Arial" w:hAnsi="Arial" w:cs="Arial"/>
          <w:sz w:val="16"/>
          <w:szCs w:val="16"/>
        </w:rPr>
        <w:t>137</w:t>
      </w:r>
      <w:r w:rsidR="00CF6980" w:rsidRPr="009A37C5">
        <w:rPr>
          <w:rFonts w:ascii="Arial" w:hAnsi="Arial" w:cs="Arial"/>
          <w:sz w:val="16"/>
          <w:szCs w:val="16"/>
        </w:rPr>
        <w:t>/</w:t>
      </w:r>
      <w:r w:rsidR="00300900" w:rsidRPr="009A37C5">
        <w:rPr>
          <w:rFonts w:ascii="Arial" w:hAnsi="Arial" w:cs="Arial"/>
          <w:sz w:val="16"/>
          <w:szCs w:val="16"/>
        </w:rPr>
        <w:t>201</w:t>
      </w:r>
      <w:r w:rsidR="00CF6980" w:rsidRPr="009A37C5">
        <w:rPr>
          <w:rFonts w:ascii="Arial" w:hAnsi="Arial" w:cs="Arial"/>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9A37C5" w:rsidRPr="009A37C5">
        <w:rPr>
          <w:rFonts w:ascii="Arial" w:hAnsi="Arial" w:cs="Arial"/>
          <w:bCs/>
          <w:sz w:val="16"/>
          <w:szCs w:val="16"/>
        </w:rPr>
        <w:t>135/2017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9A37C5" w:rsidRPr="009A37C5">
        <w:rPr>
          <w:rFonts w:ascii="Arial" w:hAnsi="Arial" w:cs="Arial"/>
          <w:bCs/>
          <w:sz w:val="16"/>
          <w:szCs w:val="16"/>
        </w:rPr>
        <w:t>01.1712.00522-00/2017</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9F78DE" w:rsidRPr="009F78DE">
        <w:rPr>
          <w:rFonts w:ascii="Arial" w:hAnsi="Arial" w:cs="Arial"/>
          <w:color w:val="000000" w:themeColor="text1"/>
          <w:sz w:val="16"/>
          <w:szCs w:val="16"/>
        </w:rPr>
        <w:t xml:space="preserve">eventual </w:t>
      </w:r>
      <w:r w:rsidR="009A37C5" w:rsidRPr="009A37C5">
        <w:rPr>
          <w:rFonts w:ascii="Arial" w:hAnsi="Arial" w:cs="Arial"/>
          <w:bCs/>
          <w:sz w:val="16"/>
          <w:szCs w:val="16"/>
        </w:rPr>
        <w:t xml:space="preserve">aquisição de material de consumo (cânulas e </w:t>
      </w:r>
      <w:r w:rsidR="00356DBA" w:rsidRPr="00356DBA">
        <w:rPr>
          <w:rFonts w:ascii="Arial" w:hAnsi="Arial" w:cs="Arial"/>
          <w:bCs/>
          <w:sz w:val="16"/>
          <w:szCs w:val="16"/>
        </w:rPr>
        <w:t>Cateteres</w:t>
      </w:r>
      <w:r w:rsidR="00356DBA">
        <w:rPr>
          <w:bCs/>
          <w:color w:val="000000"/>
          <w:sz w:val="22"/>
          <w:szCs w:val="22"/>
        </w:rPr>
        <w:t xml:space="preserve"> </w:t>
      </w:r>
      <w:r w:rsidR="00356DBA" w:rsidRPr="00356DBA">
        <w:rPr>
          <w:bCs/>
          <w:color w:val="000000"/>
          <w:sz w:val="18"/>
          <w:szCs w:val="18"/>
        </w:rPr>
        <w:t>I</w:t>
      </w:r>
      <w:r w:rsidR="009A37C5" w:rsidRPr="009A37C5">
        <w:rPr>
          <w:rFonts w:ascii="Arial" w:hAnsi="Arial" w:cs="Arial"/>
          <w:bCs/>
          <w:sz w:val="16"/>
          <w:szCs w:val="16"/>
        </w:rPr>
        <w:t xml:space="preserve"> – cânula de </w:t>
      </w:r>
      <w:proofErr w:type="spellStart"/>
      <w:r w:rsidR="009A37C5" w:rsidRPr="009A37C5">
        <w:rPr>
          <w:rFonts w:ascii="Arial" w:hAnsi="Arial" w:cs="Arial"/>
          <w:bCs/>
          <w:sz w:val="16"/>
          <w:szCs w:val="16"/>
        </w:rPr>
        <w:t>guedel</w:t>
      </w:r>
      <w:proofErr w:type="spellEnd"/>
      <w:r w:rsidR="009A37C5" w:rsidRPr="009A37C5">
        <w:rPr>
          <w:rFonts w:ascii="Arial" w:hAnsi="Arial" w:cs="Arial"/>
          <w:bCs/>
          <w:sz w:val="16"/>
          <w:szCs w:val="16"/>
        </w:rPr>
        <w:t xml:space="preserve">, nº 0,30, confeccionada em material atóxico, flexibilidade e </w:t>
      </w:r>
      <w:proofErr w:type="gramStart"/>
      <w:r w:rsidR="009A37C5" w:rsidRPr="009A37C5">
        <w:rPr>
          <w:rFonts w:ascii="Arial" w:hAnsi="Arial" w:cs="Arial"/>
          <w:bCs/>
          <w:sz w:val="16"/>
          <w:szCs w:val="16"/>
        </w:rPr>
        <w:t>curvatura adequadas</w:t>
      </w:r>
      <w:proofErr w:type="gramEnd"/>
      <w:r w:rsidR="009A37C5" w:rsidRPr="009A37C5">
        <w:rPr>
          <w:rFonts w:ascii="Arial" w:hAnsi="Arial" w:cs="Arial"/>
          <w:bCs/>
          <w:sz w:val="16"/>
          <w:szCs w:val="16"/>
        </w:rPr>
        <w:t xml:space="preserve"> e outros), para atender demanda necessárias de todas as unidades da Secretaria Estadual de Saúde</w:t>
      </w:r>
      <w:r w:rsidR="009F78DE" w:rsidRPr="009F78DE">
        <w:rPr>
          <w:rFonts w:ascii="Arial" w:hAnsi="Arial" w:cs="Arial"/>
          <w:bCs/>
          <w:sz w:val="16"/>
          <w:szCs w:val="16"/>
        </w:rPr>
        <w:t>, a pedido da Secretaria de Estado da Saúde – SESAU</w:t>
      </w:r>
      <w:r w:rsidR="00A212A5" w:rsidRPr="00214276">
        <w:rPr>
          <w:rFonts w:ascii="Arial" w:hAnsi="Arial" w:cs="Arial"/>
          <w:color w:val="000000" w:themeColor="text1"/>
          <w:sz w:val="16"/>
          <w:szCs w:val="16"/>
        </w:rPr>
        <w:t>, para o período de 12 meses, conforme especificação completa no Termo de Referência – Anexo</w:t>
      </w:r>
      <w:r w:rsidR="00356DBA" w:rsidRPr="00356DBA">
        <w:rPr>
          <w:color w:val="000000"/>
          <w:sz w:val="22"/>
          <w:szCs w:val="22"/>
        </w:rPr>
        <w:t xml:space="preserve"> </w:t>
      </w:r>
      <w:r w:rsidR="00356DBA" w:rsidRPr="00356DBA">
        <w:rPr>
          <w:color w:val="000000"/>
          <w:sz w:val="18"/>
          <w:szCs w:val="18"/>
        </w:rPr>
        <w:t>I</w:t>
      </w:r>
      <w:r w:rsidR="00356DBA" w:rsidRPr="00214276">
        <w:rPr>
          <w:rFonts w:ascii="Arial" w:hAnsi="Arial" w:cs="Arial"/>
          <w:color w:val="000000" w:themeColor="text1"/>
          <w:sz w:val="16"/>
          <w:szCs w:val="16"/>
        </w:rPr>
        <w:t xml:space="preserve"> </w:t>
      </w:r>
      <w:r w:rsidR="00A212A5" w:rsidRPr="00214276">
        <w:rPr>
          <w:rFonts w:ascii="Arial" w:hAnsi="Arial" w:cs="Arial"/>
          <w:color w:val="000000" w:themeColor="text1"/>
          <w:sz w:val="16"/>
          <w:szCs w:val="16"/>
        </w:rPr>
        <w:t xml:space="preserve">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9F78DE" w:rsidRDefault="009D2314" w:rsidP="009D2314">
      <w:pPr>
        <w:jc w:val="both"/>
        <w:rPr>
          <w:rFonts w:ascii="Arial" w:hAnsi="Arial" w:cs="Arial"/>
          <w:color w:val="000000" w:themeColor="text1"/>
          <w:sz w:val="16"/>
          <w:szCs w:val="16"/>
        </w:rPr>
      </w:pPr>
    </w:p>
    <w:p w:rsidR="00CF6980" w:rsidRDefault="009A37C5" w:rsidP="008C7613">
      <w:pPr>
        <w:jc w:val="both"/>
        <w:rPr>
          <w:rFonts w:ascii="Arial" w:hAnsi="Arial" w:cs="Arial"/>
          <w:b/>
          <w:bCs/>
          <w:sz w:val="16"/>
          <w:szCs w:val="16"/>
        </w:rPr>
      </w:pPr>
      <w:r w:rsidRPr="009A37C5">
        <w:rPr>
          <w:rFonts w:ascii="Arial" w:hAnsi="Arial" w:cs="Arial"/>
          <w:bCs/>
          <w:color w:val="000000"/>
          <w:sz w:val="16"/>
          <w:szCs w:val="16"/>
        </w:rPr>
        <w:t xml:space="preserve">REGISTRAR O </w:t>
      </w:r>
      <w:r w:rsidRPr="009A37C5">
        <w:rPr>
          <w:rFonts w:ascii="Arial" w:hAnsi="Arial" w:cs="Arial"/>
          <w:bCs/>
          <w:sz w:val="16"/>
          <w:szCs w:val="16"/>
        </w:rPr>
        <w:t>PREÇO</w:t>
      </w:r>
      <w:r w:rsidRPr="00A212A5">
        <w:rPr>
          <w:rFonts w:ascii="Arial" w:hAnsi="Arial" w:cs="Arial"/>
          <w:sz w:val="16"/>
          <w:szCs w:val="16"/>
        </w:rPr>
        <w:t xml:space="preserve"> para futura e </w:t>
      </w:r>
      <w:r w:rsidRPr="009F78DE">
        <w:rPr>
          <w:rFonts w:ascii="Arial" w:hAnsi="Arial" w:cs="Arial"/>
          <w:color w:val="000000" w:themeColor="text1"/>
          <w:sz w:val="16"/>
          <w:szCs w:val="16"/>
        </w:rPr>
        <w:t xml:space="preserve">eventual </w:t>
      </w:r>
      <w:r w:rsidRPr="009A37C5">
        <w:rPr>
          <w:rFonts w:ascii="Arial" w:hAnsi="Arial" w:cs="Arial"/>
          <w:bCs/>
          <w:sz w:val="16"/>
          <w:szCs w:val="16"/>
        </w:rPr>
        <w:t xml:space="preserve">aquisição de material de consumo (cânulas e </w:t>
      </w:r>
      <w:r w:rsidR="00356DBA" w:rsidRPr="00356DBA">
        <w:rPr>
          <w:rFonts w:ascii="Arial" w:hAnsi="Arial" w:cs="Arial"/>
          <w:bCs/>
          <w:sz w:val="16"/>
          <w:szCs w:val="16"/>
        </w:rPr>
        <w:t>Cateteres</w:t>
      </w:r>
      <w:r w:rsidR="00356DBA">
        <w:rPr>
          <w:bCs/>
          <w:color w:val="000000"/>
          <w:sz w:val="22"/>
          <w:szCs w:val="22"/>
        </w:rPr>
        <w:t xml:space="preserve"> </w:t>
      </w:r>
      <w:r w:rsidR="00356DBA" w:rsidRPr="00356DBA">
        <w:rPr>
          <w:bCs/>
          <w:color w:val="000000"/>
          <w:sz w:val="18"/>
          <w:szCs w:val="18"/>
        </w:rPr>
        <w:t>I</w:t>
      </w:r>
      <w:r w:rsidRPr="009A37C5">
        <w:rPr>
          <w:rFonts w:ascii="Arial" w:hAnsi="Arial" w:cs="Arial"/>
          <w:bCs/>
          <w:sz w:val="16"/>
          <w:szCs w:val="16"/>
        </w:rPr>
        <w:t xml:space="preserve"> – cânula de </w:t>
      </w:r>
      <w:proofErr w:type="spellStart"/>
      <w:r w:rsidRPr="009A37C5">
        <w:rPr>
          <w:rFonts w:ascii="Arial" w:hAnsi="Arial" w:cs="Arial"/>
          <w:bCs/>
          <w:sz w:val="16"/>
          <w:szCs w:val="16"/>
        </w:rPr>
        <w:t>guedel</w:t>
      </w:r>
      <w:proofErr w:type="spellEnd"/>
      <w:r w:rsidRPr="009A37C5">
        <w:rPr>
          <w:rFonts w:ascii="Arial" w:hAnsi="Arial" w:cs="Arial"/>
          <w:bCs/>
          <w:sz w:val="16"/>
          <w:szCs w:val="16"/>
        </w:rPr>
        <w:t xml:space="preserve">, nº 0,30, confeccionada em material atóxico, flexibilidade e </w:t>
      </w:r>
      <w:proofErr w:type="gramStart"/>
      <w:r w:rsidRPr="009A37C5">
        <w:rPr>
          <w:rFonts w:ascii="Arial" w:hAnsi="Arial" w:cs="Arial"/>
          <w:bCs/>
          <w:sz w:val="16"/>
          <w:szCs w:val="16"/>
        </w:rPr>
        <w:t>curvatura adequadas</w:t>
      </w:r>
      <w:proofErr w:type="gramEnd"/>
      <w:r w:rsidRPr="009A37C5">
        <w:rPr>
          <w:rFonts w:ascii="Arial" w:hAnsi="Arial" w:cs="Arial"/>
          <w:bCs/>
          <w:sz w:val="16"/>
          <w:szCs w:val="16"/>
        </w:rPr>
        <w:t xml:space="preserve"> e outros), para atender demanda necessárias de todas as unidades da Secretaria Estadual de Saúde</w:t>
      </w:r>
      <w:r w:rsidRPr="009F78DE">
        <w:rPr>
          <w:rFonts w:ascii="Arial" w:hAnsi="Arial" w:cs="Arial"/>
          <w:bCs/>
          <w:sz w:val="16"/>
          <w:szCs w:val="16"/>
        </w:rPr>
        <w:t>, a pedido da Secretaria de Estado da Saúde – SESAU</w:t>
      </w:r>
    </w:p>
    <w:p w:rsidR="009A37C5" w:rsidRDefault="009A37C5"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BF0CAB">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BF0CA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BA5836" w:rsidTr="00DE77D2">
        <w:trPr>
          <w:gridBefore w:val="1"/>
          <w:wBefore w:w="32" w:type="pct"/>
        </w:trPr>
        <w:tc>
          <w:tcPr>
            <w:tcW w:w="4968" w:type="pct"/>
            <w:tcBorders>
              <w:top w:val="nil"/>
              <w:left w:val="nil"/>
              <w:bottom w:val="nil"/>
              <w:right w:val="nil"/>
            </w:tcBorders>
          </w:tcPr>
          <w:p w:rsidR="00DE77D2" w:rsidRPr="007621A6" w:rsidRDefault="00DE77D2" w:rsidP="009F78DE">
            <w:pPr>
              <w:tabs>
                <w:tab w:val="num" w:pos="355"/>
              </w:tabs>
              <w:ind w:hanging="71"/>
              <w:jc w:val="both"/>
              <w:rPr>
                <w:rFonts w:ascii="Arial" w:hAnsi="Arial" w:cs="Arial"/>
                <w:sz w:val="16"/>
                <w:szCs w:val="16"/>
              </w:rPr>
            </w:pPr>
            <w:r>
              <w:rPr>
                <w:rFonts w:ascii="Arial" w:hAnsi="Arial" w:cs="Arial"/>
                <w:b/>
                <w:sz w:val="16"/>
                <w:szCs w:val="16"/>
              </w:rPr>
              <w:t xml:space="preserve">6.3. </w:t>
            </w:r>
            <w:r w:rsidR="00CF6980">
              <w:rPr>
                <w:rFonts w:ascii="Arial" w:hAnsi="Arial" w:cs="Arial"/>
                <w:b/>
                <w:sz w:val="16"/>
                <w:szCs w:val="16"/>
              </w:rPr>
              <w:t>DO PRAZO DE ENTREGA</w:t>
            </w:r>
            <w:r w:rsidR="00214276" w:rsidRPr="00DE77D2">
              <w:rPr>
                <w:rFonts w:ascii="Arial" w:hAnsi="Arial" w:cs="Arial"/>
                <w:b/>
                <w:sz w:val="16"/>
                <w:szCs w:val="16"/>
              </w:rPr>
              <w:t>:</w:t>
            </w:r>
            <w:r w:rsidR="00214276" w:rsidRPr="00DE77D2">
              <w:rPr>
                <w:rFonts w:asciiTheme="minorHAnsi" w:hAnsiTheme="minorHAnsi"/>
                <w:color w:val="000000" w:themeColor="text1"/>
              </w:rPr>
              <w:t xml:space="preserve"> </w:t>
            </w:r>
            <w:r w:rsidR="009F78DE" w:rsidRPr="009F78DE">
              <w:rPr>
                <w:rFonts w:ascii="Arial" w:hAnsi="Arial" w:cs="Arial"/>
                <w:sz w:val="16"/>
                <w:szCs w:val="16"/>
              </w:rPr>
              <w:t>Os materiais deverão ser entregues no prazo máximo de até 30 (trinta) dias corridos contados a partir do recebimento da Nota de Empenho.</w:t>
            </w:r>
          </w:p>
        </w:tc>
      </w:tr>
      <w:tr w:rsidR="006B04DB" w:rsidRPr="009F78DE" w:rsidTr="00DE77D2">
        <w:tc>
          <w:tcPr>
            <w:tcW w:w="5000" w:type="pct"/>
            <w:gridSpan w:val="2"/>
            <w:tcBorders>
              <w:top w:val="nil"/>
              <w:left w:val="nil"/>
              <w:bottom w:val="nil"/>
              <w:right w:val="nil"/>
            </w:tcBorders>
          </w:tcPr>
          <w:p w:rsidR="006B04DB" w:rsidRPr="009F78DE" w:rsidRDefault="00214276" w:rsidP="009F78DE">
            <w:pPr>
              <w:pStyle w:val="NormalWeb"/>
              <w:suppressAutoHyphens/>
              <w:spacing w:before="240" w:beforeAutospacing="0" w:after="240" w:afterAutospacing="0" w:line="276" w:lineRule="auto"/>
              <w:contextualSpacing/>
              <w:jc w:val="both"/>
              <w:outlineLvl w:val="0"/>
              <w:rPr>
                <w:rFonts w:ascii="Arial" w:hAnsi="Arial" w:cs="Arial"/>
                <w:b/>
                <w:sz w:val="16"/>
                <w:szCs w:val="16"/>
              </w:rPr>
            </w:pPr>
            <w:r w:rsidRPr="009F78DE">
              <w:rPr>
                <w:rFonts w:ascii="Arial" w:hAnsi="Arial" w:cs="Arial"/>
                <w:b/>
                <w:sz w:val="16"/>
                <w:szCs w:val="16"/>
              </w:rPr>
              <w:t>6.4</w:t>
            </w:r>
            <w:r w:rsidR="00663BA7" w:rsidRPr="009F78DE">
              <w:rPr>
                <w:rFonts w:ascii="Arial" w:hAnsi="Arial" w:cs="Arial"/>
                <w:b/>
                <w:sz w:val="16"/>
                <w:szCs w:val="16"/>
              </w:rPr>
              <w:t>.</w:t>
            </w:r>
            <w:r w:rsidRPr="009F78DE">
              <w:rPr>
                <w:rFonts w:ascii="Arial" w:hAnsi="Arial" w:cs="Arial"/>
                <w:b/>
                <w:sz w:val="16"/>
                <w:szCs w:val="16"/>
              </w:rPr>
              <w:t xml:space="preserve"> </w:t>
            </w:r>
            <w:r w:rsidR="00CF6980" w:rsidRPr="009F78DE">
              <w:rPr>
                <w:rFonts w:ascii="Arial" w:hAnsi="Arial" w:cs="Arial"/>
                <w:b/>
                <w:sz w:val="16"/>
                <w:szCs w:val="16"/>
              </w:rPr>
              <w:t>DO LOCAL DE ENTREGA</w:t>
            </w:r>
            <w:r w:rsidR="006B04DB" w:rsidRPr="009F78DE">
              <w:rPr>
                <w:rFonts w:ascii="Arial" w:hAnsi="Arial" w:cs="Arial"/>
                <w:b/>
                <w:sz w:val="16"/>
                <w:szCs w:val="16"/>
              </w:rPr>
              <w:t>:</w:t>
            </w:r>
            <w:r w:rsidR="006B04DB" w:rsidRPr="009F78DE">
              <w:rPr>
                <w:rFonts w:ascii="Arial" w:hAnsi="Arial" w:cs="Arial"/>
                <w:sz w:val="16"/>
                <w:szCs w:val="16"/>
              </w:rPr>
              <w:t xml:space="preserve"> </w:t>
            </w:r>
            <w:r w:rsidR="006300BF" w:rsidRPr="006300BF">
              <w:rPr>
                <w:rFonts w:ascii="Arial" w:hAnsi="Arial" w:cs="Arial"/>
                <w:sz w:val="16"/>
                <w:szCs w:val="16"/>
              </w:rPr>
              <w:t>Os materiais, objeto da presente Licitação, deverão ser entregues com frete CIF, no (s) seguinte (s) local (is): Central de Abastecimento Farmacêutico - CAF II: Rua: Aparício de Morais n° 4378, Bairro - Setor Industrial, CEP: 76824-128 – Porto Velho/RO. Os dias de funcionamento são de segunda-feira a sexta-feira das 07h30 às 13h30, conforme subitem 7.1 do Termo de Referência – Anexo I do Edital.</w:t>
            </w: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F78DE" w:rsidRPr="00BF0CAB" w:rsidRDefault="009D2314" w:rsidP="009D2314">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Pr="00903F42" w:rsidRDefault="005E2FA0" w:rsidP="009D2314">
      <w:pPr>
        <w:pStyle w:val="Lista2"/>
        <w:ind w:left="0" w:firstLine="0"/>
        <w:jc w:val="both"/>
        <w:rPr>
          <w:b/>
          <w:bCs/>
          <w:sz w:val="16"/>
          <w:szCs w:val="16"/>
        </w:rPr>
      </w:pPr>
      <w:r w:rsidRPr="00903F42">
        <w:rPr>
          <w:b/>
          <w:bCs/>
          <w:color w:val="000000"/>
          <w:sz w:val="16"/>
          <w:szCs w:val="16"/>
        </w:rPr>
        <w:t>9.</w:t>
      </w:r>
      <w:r w:rsidR="009D2314" w:rsidRPr="00903F42">
        <w:rPr>
          <w:b/>
          <w:bCs/>
          <w:color w:val="000000"/>
          <w:sz w:val="16"/>
          <w:szCs w:val="16"/>
        </w:rPr>
        <w:t xml:space="preserve"> </w:t>
      </w:r>
      <w:r w:rsidR="009D2314" w:rsidRPr="00903F42">
        <w:rPr>
          <w:b/>
          <w:bCs/>
          <w:sz w:val="16"/>
          <w:szCs w:val="16"/>
        </w:rPr>
        <w:t>DAS SANÇÕES NO CASO DE INADIMPLÊNCIA E DO CANCELAMENTO DO REGISTRO DE PREÇOS</w:t>
      </w:r>
    </w:p>
    <w:p w:rsidR="009F78DE" w:rsidRDefault="008E4E8A" w:rsidP="009F78DE">
      <w:pPr>
        <w:pStyle w:val="Lista2"/>
        <w:ind w:left="0" w:firstLine="0"/>
        <w:rPr>
          <w:b/>
          <w:bCs/>
          <w:sz w:val="16"/>
          <w:szCs w:val="16"/>
        </w:rPr>
      </w:pPr>
      <w:r w:rsidRPr="009F78DE">
        <w:rPr>
          <w:b/>
          <w:bCs/>
          <w:sz w:val="16"/>
          <w:szCs w:val="16"/>
        </w:rPr>
        <w:t xml:space="preserve"> </w:t>
      </w:r>
    </w:p>
    <w:p w:rsidR="00BC499A" w:rsidRPr="00BC499A" w:rsidRDefault="00BC499A" w:rsidP="00BC499A">
      <w:pPr>
        <w:suppressAutoHyphens/>
        <w:spacing w:line="360" w:lineRule="auto"/>
        <w:ind w:right="47"/>
        <w:jc w:val="both"/>
        <w:rPr>
          <w:rFonts w:ascii="Arial" w:hAnsi="Arial" w:cs="Arial"/>
          <w:sz w:val="16"/>
          <w:szCs w:val="16"/>
        </w:rPr>
      </w:pPr>
      <w:r>
        <w:rPr>
          <w:rFonts w:ascii="Arial" w:hAnsi="Arial" w:cs="Arial"/>
          <w:sz w:val="16"/>
          <w:szCs w:val="16"/>
        </w:rPr>
        <w:t>9.</w:t>
      </w:r>
      <w:r w:rsidRPr="00BC499A">
        <w:rPr>
          <w:rFonts w:ascii="Arial" w:hAnsi="Arial" w:cs="Arial"/>
          <w:sz w:val="16"/>
          <w:szCs w:val="16"/>
        </w:rPr>
        <w:t>1</w:t>
      </w:r>
      <w:r w:rsidR="009A53A4">
        <w:rPr>
          <w:rFonts w:ascii="Arial" w:hAnsi="Arial" w:cs="Arial"/>
          <w:sz w:val="16"/>
          <w:szCs w:val="16"/>
        </w:rPr>
        <w:t xml:space="preserve">. </w:t>
      </w:r>
      <w:r w:rsidRPr="00BC499A">
        <w:rPr>
          <w:rFonts w:ascii="Arial" w:hAnsi="Arial" w:cs="Arial"/>
          <w:sz w:val="16"/>
          <w:szCs w:val="16"/>
        </w:rPr>
        <w:t xml:space="preserve"> 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BC499A" w:rsidRPr="00BC499A" w:rsidRDefault="00BC499A" w:rsidP="00BC499A">
      <w:pPr>
        <w:suppressAutoHyphens/>
        <w:spacing w:line="360" w:lineRule="auto"/>
        <w:ind w:right="47"/>
        <w:jc w:val="both"/>
        <w:rPr>
          <w:rFonts w:ascii="Arial" w:hAnsi="Arial" w:cs="Arial"/>
          <w:sz w:val="16"/>
          <w:szCs w:val="16"/>
        </w:rPr>
      </w:pPr>
      <w:r>
        <w:rPr>
          <w:rFonts w:ascii="Arial" w:hAnsi="Arial" w:cs="Arial"/>
          <w:sz w:val="16"/>
          <w:szCs w:val="16"/>
        </w:rPr>
        <w:t>9</w:t>
      </w:r>
      <w:r w:rsidRPr="00BC499A">
        <w:rPr>
          <w:rFonts w:ascii="Arial" w:hAnsi="Arial" w:cs="Arial"/>
          <w:sz w:val="16"/>
          <w:szCs w:val="16"/>
        </w:rPr>
        <w:t>.2</w:t>
      </w:r>
      <w:r w:rsidR="009A53A4">
        <w:rPr>
          <w:rFonts w:ascii="Arial" w:hAnsi="Arial" w:cs="Arial"/>
          <w:sz w:val="16"/>
          <w:szCs w:val="16"/>
        </w:rPr>
        <w:t>.</w:t>
      </w:r>
      <w:r w:rsidRPr="00BC499A">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C499A" w:rsidRPr="00BC499A" w:rsidRDefault="00BC499A" w:rsidP="00BC499A">
      <w:pPr>
        <w:suppressAutoHyphens/>
        <w:spacing w:line="360" w:lineRule="auto"/>
        <w:ind w:right="47"/>
        <w:jc w:val="both"/>
        <w:rPr>
          <w:rFonts w:ascii="Arial" w:hAnsi="Arial" w:cs="Arial"/>
          <w:sz w:val="16"/>
          <w:szCs w:val="16"/>
        </w:rPr>
      </w:pPr>
      <w:r>
        <w:rPr>
          <w:rFonts w:ascii="Arial" w:hAnsi="Arial" w:cs="Arial"/>
          <w:sz w:val="16"/>
          <w:szCs w:val="16"/>
        </w:rPr>
        <w:t>9</w:t>
      </w:r>
      <w:r w:rsidRPr="00BC499A">
        <w:rPr>
          <w:rFonts w:ascii="Arial" w:hAnsi="Arial" w:cs="Arial"/>
          <w:sz w:val="16"/>
          <w:szCs w:val="16"/>
        </w:rPr>
        <w:t>.3</w:t>
      </w:r>
      <w:r w:rsidR="009A53A4">
        <w:rPr>
          <w:rFonts w:ascii="Arial" w:hAnsi="Arial" w:cs="Arial"/>
          <w:sz w:val="16"/>
          <w:szCs w:val="16"/>
        </w:rPr>
        <w:t xml:space="preserve">. </w:t>
      </w:r>
      <w:r w:rsidRPr="00BC499A">
        <w:rPr>
          <w:rFonts w:ascii="Arial" w:hAnsi="Arial" w:cs="Arial"/>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C499A" w:rsidRPr="00BC499A" w:rsidRDefault="00BC499A" w:rsidP="00BC499A">
      <w:pPr>
        <w:suppressAutoHyphens/>
        <w:spacing w:line="360" w:lineRule="auto"/>
        <w:ind w:right="47"/>
        <w:jc w:val="both"/>
        <w:rPr>
          <w:rFonts w:ascii="Arial" w:hAnsi="Arial" w:cs="Arial"/>
          <w:sz w:val="16"/>
          <w:szCs w:val="16"/>
        </w:rPr>
      </w:pPr>
      <w:r>
        <w:rPr>
          <w:rFonts w:ascii="Arial" w:hAnsi="Arial" w:cs="Arial"/>
          <w:sz w:val="16"/>
          <w:szCs w:val="16"/>
        </w:rPr>
        <w:t>9</w:t>
      </w:r>
      <w:r w:rsidRPr="00BC499A">
        <w:rPr>
          <w:rFonts w:ascii="Arial" w:hAnsi="Arial" w:cs="Arial"/>
          <w:sz w:val="16"/>
          <w:szCs w:val="16"/>
        </w:rPr>
        <w:t>.4</w:t>
      </w:r>
      <w:r w:rsidR="009A53A4">
        <w:rPr>
          <w:rFonts w:ascii="Arial" w:hAnsi="Arial" w:cs="Arial"/>
          <w:sz w:val="16"/>
          <w:szCs w:val="16"/>
        </w:rPr>
        <w:t xml:space="preserve">. </w:t>
      </w:r>
      <w:r w:rsidRPr="00BC499A">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.5</w:t>
      </w:r>
      <w:r>
        <w:rPr>
          <w:rFonts w:ascii="Arial" w:hAnsi="Arial" w:cs="Arial"/>
          <w:sz w:val="16"/>
          <w:szCs w:val="16"/>
        </w:rPr>
        <w:t xml:space="preserve">. </w:t>
      </w:r>
      <w:r w:rsidR="00BC499A" w:rsidRPr="009A53A4">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.6</w:t>
      </w:r>
      <w:r>
        <w:rPr>
          <w:rFonts w:ascii="Arial" w:hAnsi="Arial" w:cs="Arial"/>
          <w:sz w:val="16"/>
          <w:szCs w:val="16"/>
        </w:rPr>
        <w:t>.</w:t>
      </w:r>
      <w:r w:rsidR="00BC499A" w:rsidRPr="009A53A4">
        <w:rPr>
          <w:rFonts w:ascii="Arial" w:hAnsi="Arial" w:cs="Arial"/>
          <w:sz w:val="16"/>
          <w:szCs w:val="16"/>
        </w:rPr>
        <w:t xml:space="preserve"> </w:t>
      </w:r>
      <w:r>
        <w:rPr>
          <w:rFonts w:ascii="Arial" w:hAnsi="Arial" w:cs="Arial"/>
          <w:sz w:val="16"/>
          <w:szCs w:val="16"/>
        </w:rPr>
        <w:t xml:space="preserve"> </w:t>
      </w:r>
      <w:r w:rsidR="00BC499A" w:rsidRPr="009A53A4">
        <w:rPr>
          <w:rFonts w:ascii="Arial" w:hAnsi="Arial" w:cs="Arial"/>
          <w:sz w:val="16"/>
          <w:szCs w:val="16"/>
        </w:rPr>
        <w:t>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.7</w:t>
      </w:r>
      <w:r>
        <w:rPr>
          <w:rFonts w:ascii="Arial" w:hAnsi="Arial" w:cs="Arial"/>
          <w:sz w:val="16"/>
          <w:szCs w:val="16"/>
        </w:rPr>
        <w:t xml:space="preserve">. </w:t>
      </w:r>
      <w:r w:rsidR="00BC499A" w:rsidRPr="009A53A4">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.8</w:t>
      </w:r>
      <w:r>
        <w:rPr>
          <w:rFonts w:ascii="Arial" w:hAnsi="Arial" w:cs="Arial"/>
          <w:sz w:val="16"/>
          <w:szCs w:val="16"/>
        </w:rPr>
        <w:t>.</w:t>
      </w:r>
      <w:r w:rsidR="00BC499A" w:rsidRPr="009A53A4">
        <w:rPr>
          <w:rFonts w:ascii="Arial" w:hAnsi="Arial" w:cs="Arial"/>
          <w:sz w:val="16"/>
          <w:szCs w:val="16"/>
        </w:rPr>
        <w:t xml:space="preserve"> </w:t>
      </w:r>
      <w:r>
        <w:rPr>
          <w:rFonts w:ascii="Arial" w:hAnsi="Arial" w:cs="Arial"/>
          <w:sz w:val="16"/>
          <w:szCs w:val="16"/>
        </w:rPr>
        <w:t xml:space="preserve"> </w:t>
      </w:r>
      <w:r w:rsidR="00BC499A" w:rsidRPr="009A53A4">
        <w:rPr>
          <w:rFonts w:ascii="Arial" w:hAnsi="Arial" w:cs="Arial"/>
          <w:sz w:val="16"/>
          <w:szCs w:val="16"/>
        </w:rPr>
        <w:t>São exemplos de infração administrativa penalizáveis, nos termos da Lei n° 8.666, de 1993, da Lei n° 10.520, de 2002, do Decreto n° 3.555, de 2000, e do Decreto n° 5.450, de 2005:</w:t>
      </w:r>
    </w:p>
    <w:p w:rsidR="00BC499A" w:rsidRPr="009A53A4" w:rsidRDefault="00BC499A" w:rsidP="009A53A4">
      <w:pPr>
        <w:suppressAutoHyphens/>
        <w:spacing w:line="360" w:lineRule="auto"/>
        <w:ind w:right="47"/>
        <w:jc w:val="both"/>
        <w:rPr>
          <w:rFonts w:ascii="Arial" w:hAnsi="Arial" w:cs="Arial"/>
          <w:sz w:val="16"/>
          <w:szCs w:val="16"/>
        </w:rPr>
      </w:pPr>
      <w:r w:rsidRPr="009A53A4">
        <w:rPr>
          <w:rFonts w:ascii="Arial" w:hAnsi="Arial" w:cs="Arial"/>
          <w:sz w:val="16"/>
          <w:szCs w:val="16"/>
        </w:rPr>
        <w:t>a) Inexecução total ou parcial do contrato;</w:t>
      </w:r>
    </w:p>
    <w:p w:rsidR="00BC499A" w:rsidRPr="009A53A4" w:rsidRDefault="00BC499A" w:rsidP="009A53A4">
      <w:pPr>
        <w:suppressAutoHyphens/>
        <w:spacing w:line="360" w:lineRule="auto"/>
        <w:ind w:right="47"/>
        <w:jc w:val="both"/>
        <w:rPr>
          <w:rFonts w:ascii="Arial" w:hAnsi="Arial" w:cs="Arial"/>
          <w:sz w:val="16"/>
          <w:szCs w:val="16"/>
        </w:rPr>
      </w:pPr>
      <w:r w:rsidRPr="009A53A4">
        <w:rPr>
          <w:rFonts w:ascii="Arial" w:hAnsi="Arial" w:cs="Arial"/>
          <w:sz w:val="16"/>
          <w:szCs w:val="16"/>
        </w:rPr>
        <w:t>b) Apresentação de documentação falsa;</w:t>
      </w:r>
    </w:p>
    <w:p w:rsidR="00BC499A" w:rsidRPr="009A53A4" w:rsidRDefault="00BC499A" w:rsidP="009A53A4">
      <w:pPr>
        <w:suppressAutoHyphens/>
        <w:spacing w:line="360" w:lineRule="auto"/>
        <w:ind w:right="47"/>
        <w:jc w:val="both"/>
        <w:rPr>
          <w:rFonts w:ascii="Arial" w:hAnsi="Arial" w:cs="Arial"/>
          <w:sz w:val="16"/>
          <w:szCs w:val="16"/>
        </w:rPr>
      </w:pPr>
      <w:r w:rsidRPr="009A53A4">
        <w:rPr>
          <w:rFonts w:ascii="Arial" w:hAnsi="Arial" w:cs="Arial"/>
          <w:sz w:val="16"/>
          <w:szCs w:val="16"/>
        </w:rPr>
        <w:t>c) Comportamento inidôneo;</w:t>
      </w:r>
    </w:p>
    <w:p w:rsidR="00BC499A" w:rsidRPr="009A53A4" w:rsidRDefault="00BC499A" w:rsidP="009A53A4">
      <w:pPr>
        <w:suppressAutoHyphens/>
        <w:spacing w:line="360" w:lineRule="auto"/>
        <w:ind w:right="47"/>
        <w:jc w:val="both"/>
        <w:rPr>
          <w:rFonts w:ascii="Arial" w:hAnsi="Arial" w:cs="Arial"/>
          <w:sz w:val="16"/>
          <w:szCs w:val="16"/>
        </w:rPr>
      </w:pPr>
      <w:r w:rsidRPr="009A53A4">
        <w:rPr>
          <w:rFonts w:ascii="Arial" w:hAnsi="Arial" w:cs="Arial"/>
          <w:sz w:val="16"/>
          <w:szCs w:val="16"/>
        </w:rPr>
        <w:t>d) Fraude fiscal;</w:t>
      </w:r>
    </w:p>
    <w:p w:rsidR="00BC499A" w:rsidRPr="009A53A4" w:rsidRDefault="00BC499A" w:rsidP="009A53A4">
      <w:pPr>
        <w:suppressAutoHyphens/>
        <w:spacing w:line="360" w:lineRule="auto"/>
        <w:ind w:right="47"/>
        <w:jc w:val="both"/>
        <w:rPr>
          <w:rFonts w:ascii="Arial" w:hAnsi="Arial" w:cs="Arial"/>
          <w:sz w:val="16"/>
          <w:szCs w:val="16"/>
        </w:rPr>
      </w:pPr>
      <w:r w:rsidRPr="009A53A4">
        <w:rPr>
          <w:rFonts w:ascii="Arial" w:hAnsi="Arial" w:cs="Arial"/>
          <w:sz w:val="16"/>
          <w:szCs w:val="16"/>
        </w:rPr>
        <w:t>e) Descumprimento de qualquer dos deveres elencados no Edital ou no Contrato.</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9</w:t>
      </w:r>
      <w:r>
        <w:rPr>
          <w:rFonts w:ascii="Arial" w:hAnsi="Arial" w:cs="Arial"/>
          <w:sz w:val="16"/>
          <w:szCs w:val="16"/>
        </w:rPr>
        <w:t xml:space="preserve">. </w:t>
      </w:r>
      <w:r w:rsidR="00BC499A" w:rsidRPr="009A53A4">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.10</w:t>
      </w:r>
      <w:r>
        <w:rPr>
          <w:rFonts w:ascii="Arial" w:hAnsi="Arial" w:cs="Arial"/>
          <w:sz w:val="16"/>
          <w:szCs w:val="16"/>
        </w:rPr>
        <w:t>.</w:t>
      </w:r>
      <w:r w:rsidR="00BC499A" w:rsidRPr="009A53A4">
        <w:rPr>
          <w:rFonts w:ascii="Arial" w:hAnsi="Arial" w:cs="Arial"/>
          <w:sz w:val="16"/>
          <w:szCs w:val="16"/>
        </w:rPr>
        <w:t xml:space="preserve"> </w:t>
      </w:r>
      <w:r>
        <w:rPr>
          <w:rFonts w:ascii="Arial" w:hAnsi="Arial" w:cs="Arial"/>
          <w:sz w:val="16"/>
          <w:szCs w:val="16"/>
        </w:rPr>
        <w:t xml:space="preserve"> </w:t>
      </w:r>
      <w:r w:rsidR="00BC499A" w:rsidRPr="009A53A4">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p w:rsidR="00BC499A" w:rsidRPr="009A53A4" w:rsidRDefault="00BC499A" w:rsidP="009A53A4">
      <w:pPr>
        <w:suppressAutoHyphens/>
        <w:spacing w:line="100" w:lineRule="atLeast"/>
        <w:ind w:right="47"/>
        <w:jc w:val="both"/>
        <w:rPr>
          <w:rFonts w:ascii="Arial" w:hAnsi="Arial" w:cs="Arial"/>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
        <w:gridCol w:w="6487"/>
        <w:gridCol w:w="1012"/>
        <w:gridCol w:w="1590"/>
      </w:tblGrid>
      <w:tr w:rsidR="00BC499A" w:rsidRPr="00BC499A" w:rsidTr="00BC499A">
        <w:tc>
          <w:tcPr>
            <w:tcW w:w="0" w:type="auto"/>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ITEM</w:t>
            </w:r>
          </w:p>
        </w:tc>
        <w:tc>
          <w:tcPr>
            <w:tcW w:w="6362" w:type="dxa"/>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DESCRIÇÃO DA INFRAÇÃO</w:t>
            </w:r>
          </w:p>
        </w:tc>
        <w:tc>
          <w:tcPr>
            <w:tcW w:w="992" w:type="dxa"/>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GRAU</w:t>
            </w:r>
          </w:p>
        </w:tc>
        <w:tc>
          <w:tcPr>
            <w:tcW w:w="1559" w:type="dxa"/>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MULTA</w:t>
            </w:r>
          </w:p>
        </w:tc>
      </w:tr>
      <w:tr w:rsidR="00BC499A" w:rsidRPr="00BC499A" w:rsidTr="00BC499A">
        <w:tc>
          <w:tcPr>
            <w:tcW w:w="0" w:type="auto"/>
          </w:tcPr>
          <w:p w:rsidR="00BC499A" w:rsidRPr="009A53A4" w:rsidRDefault="00BC499A" w:rsidP="009A53A4">
            <w:pPr>
              <w:suppressAutoHyphens/>
              <w:spacing w:line="100" w:lineRule="atLeast"/>
              <w:ind w:right="47"/>
              <w:jc w:val="center"/>
              <w:rPr>
                <w:rFonts w:ascii="Arial" w:hAnsi="Arial" w:cs="Arial"/>
                <w:sz w:val="16"/>
                <w:szCs w:val="16"/>
              </w:rPr>
            </w:pPr>
            <w:proofErr w:type="gramStart"/>
            <w:r w:rsidRPr="009A53A4">
              <w:rPr>
                <w:rFonts w:ascii="Arial" w:hAnsi="Arial" w:cs="Arial"/>
                <w:sz w:val="16"/>
                <w:szCs w:val="16"/>
              </w:rPr>
              <w:t>1</w:t>
            </w:r>
            <w:proofErr w:type="gramEnd"/>
          </w:p>
        </w:tc>
        <w:tc>
          <w:tcPr>
            <w:tcW w:w="6362"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 xml:space="preserve">Permitir situação que crie a possibilidade ou cause dano físico, lesão corporal ou </w:t>
            </w:r>
            <w:proofErr w:type="spellStart"/>
            <w:r w:rsidRPr="009A53A4">
              <w:rPr>
                <w:rFonts w:ascii="Arial" w:hAnsi="Arial" w:cs="Arial"/>
                <w:sz w:val="16"/>
                <w:szCs w:val="16"/>
              </w:rPr>
              <w:t>consequências</w:t>
            </w:r>
            <w:proofErr w:type="spellEnd"/>
            <w:r w:rsidRPr="009A53A4">
              <w:rPr>
                <w:rFonts w:ascii="Arial" w:hAnsi="Arial" w:cs="Arial"/>
                <w:sz w:val="16"/>
                <w:szCs w:val="16"/>
              </w:rPr>
              <w:t xml:space="preserve"> letais; por ocorrência.</w:t>
            </w:r>
          </w:p>
        </w:tc>
        <w:tc>
          <w:tcPr>
            <w:tcW w:w="992" w:type="dxa"/>
            <w:vAlign w:val="center"/>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06</w:t>
            </w:r>
          </w:p>
        </w:tc>
        <w:tc>
          <w:tcPr>
            <w:tcW w:w="1559"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4,0% por dia</w:t>
            </w:r>
          </w:p>
        </w:tc>
      </w:tr>
      <w:tr w:rsidR="00BC499A" w:rsidRPr="00BC499A" w:rsidTr="00BC499A">
        <w:tc>
          <w:tcPr>
            <w:tcW w:w="0" w:type="auto"/>
          </w:tcPr>
          <w:p w:rsidR="00BC499A" w:rsidRPr="009A53A4" w:rsidRDefault="00BC499A" w:rsidP="009A53A4">
            <w:pPr>
              <w:suppressAutoHyphens/>
              <w:spacing w:line="100" w:lineRule="atLeast"/>
              <w:ind w:right="47"/>
              <w:jc w:val="center"/>
              <w:rPr>
                <w:rFonts w:ascii="Arial" w:hAnsi="Arial" w:cs="Arial"/>
                <w:sz w:val="16"/>
                <w:szCs w:val="16"/>
              </w:rPr>
            </w:pPr>
            <w:proofErr w:type="gramStart"/>
            <w:r w:rsidRPr="009A53A4">
              <w:rPr>
                <w:rFonts w:ascii="Arial" w:hAnsi="Arial" w:cs="Arial"/>
                <w:sz w:val="16"/>
                <w:szCs w:val="16"/>
              </w:rPr>
              <w:t>2</w:t>
            </w:r>
            <w:proofErr w:type="gramEnd"/>
          </w:p>
        </w:tc>
        <w:tc>
          <w:tcPr>
            <w:tcW w:w="6362"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Usar indevidamente informações sigilosas a que teve acesso; por ocorrência.</w:t>
            </w:r>
          </w:p>
        </w:tc>
        <w:tc>
          <w:tcPr>
            <w:tcW w:w="992" w:type="dxa"/>
            <w:vAlign w:val="center"/>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06</w:t>
            </w:r>
          </w:p>
        </w:tc>
        <w:tc>
          <w:tcPr>
            <w:tcW w:w="1559"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4,0% por dia</w:t>
            </w:r>
          </w:p>
        </w:tc>
      </w:tr>
      <w:tr w:rsidR="00BC499A" w:rsidRPr="00BC499A" w:rsidTr="00BC499A">
        <w:tc>
          <w:tcPr>
            <w:tcW w:w="0" w:type="auto"/>
          </w:tcPr>
          <w:p w:rsidR="00BC499A" w:rsidRPr="009A53A4" w:rsidRDefault="00BC499A" w:rsidP="009A53A4">
            <w:pPr>
              <w:suppressAutoHyphens/>
              <w:spacing w:line="100" w:lineRule="atLeast"/>
              <w:ind w:right="47"/>
              <w:jc w:val="center"/>
              <w:rPr>
                <w:rFonts w:ascii="Arial" w:hAnsi="Arial" w:cs="Arial"/>
                <w:sz w:val="16"/>
                <w:szCs w:val="16"/>
              </w:rPr>
            </w:pPr>
            <w:proofErr w:type="gramStart"/>
            <w:r w:rsidRPr="009A53A4">
              <w:rPr>
                <w:rFonts w:ascii="Arial" w:hAnsi="Arial" w:cs="Arial"/>
                <w:sz w:val="16"/>
                <w:szCs w:val="16"/>
              </w:rPr>
              <w:t>3</w:t>
            </w:r>
            <w:proofErr w:type="gramEnd"/>
          </w:p>
        </w:tc>
        <w:tc>
          <w:tcPr>
            <w:tcW w:w="6362"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 xml:space="preserve">Suspender ou interromper, salvo por motivo de força maior ou caso fortuito, a entrega dos materiais médicos hospitalares, por cada solicitação (NE). </w:t>
            </w:r>
          </w:p>
        </w:tc>
        <w:tc>
          <w:tcPr>
            <w:tcW w:w="992" w:type="dxa"/>
            <w:vAlign w:val="center"/>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05</w:t>
            </w:r>
          </w:p>
        </w:tc>
        <w:tc>
          <w:tcPr>
            <w:tcW w:w="1559"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3,2% por dia</w:t>
            </w:r>
          </w:p>
        </w:tc>
      </w:tr>
      <w:tr w:rsidR="00BC499A" w:rsidRPr="00BC499A" w:rsidTr="00BC499A">
        <w:tc>
          <w:tcPr>
            <w:tcW w:w="0" w:type="auto"/>
          </w:tcPr>
          <w:p w:rsidR="00BC499A" w:rsidRPr="009A53A4" w:rsidRDefault="00BC499A" w:rsidP="009A53A4">
            <w:pPr>
              <w:suppressAutoHyphens/>
              <w:spacing w:line="100" w:lineRule="atLeast"/>
              <w:ind w:right="47"/>
              <w:jc w:val="center"/>
              <w:rPr>
                <w:rFonts w:ascii="Arial" w:hAnsi="Arial" w:cs="Arial"/>
                <w:sz w:val="16"/>
                <w:szCs w:val="16"/>
              </w:rPr>
            </w:pPr>
            <w:proofErr w:type="gramStart"/>
            <w:r w:rsidRPr="009A53A4">
              <w:rPr>
                <w:rFonts w:ascii="Arial" w:hAnsi="Arial" w:cs="Arial"/>
                <w:sz w:val="16"/>
                <w:szCs w:val="16"/>
              </w:rPr>
              <w:t>4</w:t>
            </w:r>
            <w:proofErr w:type="gramEnd"/>
          </w:p>
        </w:tc>
        <w:tc>
          <w:tcPr>
            <w:tcW w:w="6362"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Destruir ou danificar documentos por culpa ou dolo de seus agentes; por ocorrência.</w:t>
            </w:r>
          </w:p>
        </w:tc>
        <w:tc>
          <w:tcPr>
            <w:tcW w:w="992" w:type="dxa"/>
            <w:vAlign w:val="center"/>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05</w:t>
            </w:r>
          </w:p>
        </w:tc>
        <w:tc>
          <w:tcPr>
            <w:tcW w:w="1559"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3,2% por dia</w:t>
            </w:r>
          </w:p>
        </w:tc>
      </w:tr>
      <w:tr w:rsidR="00BC499A" w:rsidRPr="00BC499A" w:rsidTr="00BC499A">
        <w:tc>
          <w:tcPr>
            <w:tcW w:w="0" w:type="auto"/>
          </w:tcPr>
          <w:p w:rsidR="00BC499A" w:rsidRPr="009A53A4" w:rsidRDefault="00BC499A" w:rsidP="009A53A4">
            <w:pPr>
              <w:suppressAutoHyphens/>
              <w:spacing w:line="100" w:lineRule="atLeast"/>
              <w:ind w:right="47"/>
              <w:jc w:val="center"/>
              <w:rPr>
                <w:rFonts w:ascii="Arial" w:hAnsi="Arial" w:cs="Arial"/>
                <w:sz w:val="16"/>
                <w:szCs w:val="16"/>
              </w:rPr>
            </w:pPr>
            <w:proofErr w:type="gramStart"/>
            <w:r w:rsidRPr="009A53A4">
              <w:rPr>
                <w:rFonts w:ascii="Arial" w:hAnsi="Arial" w:cs="Arial"/>
                <w:sz w:val="16"/>
                <w:szCs w:val="16"/>
              </w:rPr>
              <w:t>5</w:t>
            </w:r>
            <w:proofErr w:type="gramEnd"/>
          </w:p>
        </w:tc>
        <w:tc>
          <w:tcPr>
            <w:tcW w:w="6362"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Entregar os materiais médicos hospitalares incompletos ou deixar de providenciar recomposição complementar; por ocorrência.</w:t>
            </w:r>
          </w:p>
        </w:tc>
        <w:tc>
          <w:tcPr>
            <w:tcW w:w="992" w:type="dxa"/>
            <w:vAlign w:val="center"/>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02</w:t>
            </w:r>
          </w:p>
        </w:tc>
        <w:tc>
          <w:tcPr>
            <w:tcW w:w="1559"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0,4% por dia</w:t>
            </w:r>
          </w:p>
        </w:tc>
      </w:tr>
      <w:tr w:rsidR="00BC499A" w:rsidRPr="00BC499A" w:rsidTr="00BC499A">
        <w:tc>
          <w:tcPr>
            <w:tcW w:w="0" w:type="auto"/>
          </w:tcPr>
          <w:p w:rsidR="00BC499A" w:rsidRPr="009A53A4" w:rsidRDefault="00BC499A" w:rsidP="009A53A4">
            <w:pPr>
              <w:suppressAutoHyphens/>
              <w:spacing w:line="100" w:lineRule="atLeast"/>
              <w:ind w:right="47"/>
              <w:jc w:val="center"/>
              <w:rPr>
                <w:rFonts w:ascii="Arial" w:hAnsi="Arial" w:cs="Arial"/>
                <w:sz w:val="16"/>
                <w:szCs w:val="16"/>
              </w:rPr>
            </w:pPr>
            <w:proofErr w:type="gramStart"/>
            <w:r w:rsidRPr="009A53A4">
              <w:rPr>
                <w:rFonts w:ascii="Arial" w:hAnsi="Arial" w:cs="Arial"/>
                <w:sz w:val="16"/>
                <w:szCs w:val="16"/>
              </w:rPr>
              <w:t>6</w:t>
            </w:r>
            <w:proofErr w:type="gramEnd"/>
          </w:p>
        </w:tc>
        <w:tc>
          <w:tcPr>
            <w:tcW w:w="6362"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Fornecer informação pérfida referente à entrega dos materiais médicos hospitalares, por ocorrência.</w:t>
            </w:r>
          </w:p>
        </w:tc>
        <w:tc>
          <w:tcPr>
            <w:tcW w:w="992" w:type="dxa"/>
            <w:vAlign w:val="center"/>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02</w:t>
            </w:r>
          </w:p>
        </w:tc>
        <w:tc>
          <w:tcPr>
            <w:tcW w:w="1559"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0,4% por dia</w:t>
            </w:r>
          </w:p>
        </w:tc>
      </w:tr>
      <w:tr w:rsidR="00BC499A" w:rsidRPr="00BC499A" w:rsidTr="00BC499A">
        <w:tc>
          <w:tcPr>
            <w:tcW w:w="9747" w:type="dxa"/>
            <w:gridSpan w:val="4"/>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Para os itens a seguir, deixar de:</w:t>
            </w:r>
          </w:p>
        </w:tc>
      </w:tr>
      <w:tr w:rsidR="00BC499A" w:rsidRPr="00BC499A" w:rsidTr="00BC499A">
        <w:tc>
          <w:tcPr>
            <w:tcW w:w="0" w:type="auto"/>
          </w:tcPr>
          <w:p w:rsidR="00BC499A" w:rsidRPr="009A53A4" w:rsidRDefault="00BC499A" w:rsidP="009A53A4">
            <w:pPr>
              <w:suppressAutoHyphens/>
              <w:spacing w:line="100" w:lineRule="atLeast"/>
              <w:ind w:right="47"/>
              <w:jc w:val="center"/>
              <w:rPr>
                <w:rFonts w:ascii="Arial" w:hAnsi="Arial" w:cs="Arial"/>
                <w:sz w:val="16"/>
                <w:szCs w:val="16"/>
              </w:rPr>
            </w:pPr>
            <w:proofErr w:type="gramStart"/>
            <w:r w:rsidRPr="009A53A4">
              <w:rPr>
                <w:rFonts w:ascii="Arial" w:hAnsi="Arial" w:cs="Arial"/>
                <w:sz w:val="16"/>
                <w:szCs w:val="16"/>
              </w:rPr>
              <w:lastRenderedPageBreak/>
              <w:t>7</w:t>
            </w:r>
            <w:proofErr w:type="gramEnd"/>
          </w:p>
        </w:tc>
        <w:tc>
          <w:tcPr>
            <w:tcW w:w="6362"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992" w:type="dxa"/>
            <w:vAlign w:val="center"/>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05</w:t>
            </w:r>
          </w:p>
        </w:tc>
        <w:tc>
          <w:tcPr>
            <w:tcW w:w="1559"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3,2% por dia</w:t>
            </w:r>
          </w:p>
        </w:tc>
      </w:tr>
      <w:tr w:rsidR="00BC499A" w:rsidRPr="00BC499A" w:rsidTr="00BC499A">
        <w:tc>
          <w:tcPr>
            <w:tcW w:w="0" w:type="auto"/>
          </w:tcPr>
          <w:p w:rsidR="00BC499A" w:rsidRPr="009A53A4" w:rsidRDefault="00BC499A" w:rsidP="009A53A4">
            <w:pPr>
              <w:suppressAutoHyphens/>
              <w:spacing w:line="100" w:lineRule="atLeast"/>
              <w:ind w:right="47"/>
              <w:jc w:val="center"/>
              <w:rPr>
                <w:rFonts w:ascii="Arial" w:hAnsi="Arial" w:cs="Arial"/>
                <w:sz w:val="16"/>
                <w:szCs w:val="16"/>
              </w:rPr>
            </w:pPr>
            <w:proofErr w:type="gramStart"/>
            <w:r w:rsidRPr="009A53A4">
              <w:rPr>
                <w:rFonts w:ascii="Arial" w:hAnsi="Arial" w:cs="Arial"/>
                <w:sz w:val="16"/>
                <w:szCs w:val="16"/>
              </w:rPr>
              <w:t>8</w:t>
            </w:r>
            <w:proofErr w:type="gramEnd"/>
          </w:p>
        </w:tc>
        <w:tc>
          <w:tcPr>
            <w:tcW w:w="6362"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992" w:type="dxa"/>
            <w:vAlign w:val="center"/>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03</w:t>
            </w:r>
          </w:p>
        </w:tc>
        <w:tc>
          <w:tcPr>
            <w:tcW w:w="1559"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0,8% por dia</w:t>
            </w:r>
          </w:p>
        </w:tc>
      </w:tr>
      <w:tr w:rsidR="00BC499A" w:rsidRPr="00BC499A" w:rsidTr="00BC499A">
        <w:tc>
          <w:tcPr>
            <w:tcW w:w="0" w:type="auto"/>
          </w:tcPr>
          <w:p w:rsidR="00BC499A" w:rsidRPr="009A53A4" w:rsidRDefault="00BC499A" w:rsidP="009A53A4">
            <w:pPr>
              <w:suppressAutoHyphens/>
              <w:spacing w:line="100" w:lineRule="atLeast"/>
              <w:ind w:right="47"/>
              <w:jc w:val="center"/>
              <w:rPr>
                <w:rFonts w:ascii="Arial" w:hAnsi="Arial" w:cs="Arial"/>
                <w:sz w:val="16"/>
                <w:szCs w:val="16"/>
              </w:rPr>
            </w:pPr>
            <w:proofErr w:type="gramStart"/>
            <w:r w:rsidRPr="009A53A4">
              <w:rPr>
                <w:rFonts w:ascii="Arial" w:hAnsi="Arial" w:cs="Arial"/>
                <w:sz w:val="16"/>
                <w:szCs w:val="16"/>
              </w:rPr>
              <w:t>9</w:t>
            </w:r>
            <w:proofErr w:type="gramEnd"/>
          </w:p>
        </w:tc>
        <w:tc>
          <w:tcPr>
            <w:tcW w:w="6362"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 xml:space="preserve">Cumprir quaisquer dos itens </w:t>
            </w:r>
            <w:proofErr w:type="gramStart"/>
            <w:r w:rsidRPr="009A53A4">
              <w:rPr>
                <w:rFonts w:ascii="Arial" w:hAnsi="Arial" w:cs="Arial"/>
                <w:sz w:val="16"/>
                <w:szCs w:val="16"/>
              </w:rPr>
              <w:t>do Edital e anexos</w:t>
            </w:r>
            <w:proofErr w:type="gramEnd"/>
            <w:r w:rsidRPr="009A53A4">
              <w:rPr>
                <w:rFonts w:ascii="Arial" w:hAnsi="Arial" w:cs="Arial"/>
                <w:sz w:val="16"/>
                <w:szCs w:val="16"/>
              </w:rPr>
              <w:t>, mesmo que não previstos nesta tabela de multas, após reincidência formalmente notificada pela fiscalização; por ocorrência.</w:t>
            </w:r>
          </w:p>
        </w:tc>
        <w:tc>
          <w:tcPr>
            <w:tcW w:w="992" w:type="dxa"/>
            <w:vAlign w:val="center"/>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03</w:t>
            </w:r>
          </w:p>
        </w:tc>
        <w:tc>
          <w:tcPr>
            <w:tcW w:w="1559"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0,8% por dia</w:t>
            </w:r>
          </w:p>
        </w:tc>
      </w:tr>
      <w:tr w:rsidR="00BC499A" w:rsidRPr="00BC499A" w:rsidTr="00BC499A">
        <w:tc>
          <w:tcPr>
            <w:tcW w:w="0" w:type="auto"/>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10</w:t>
            </w:r>
          </w:p>
        </w:tc>
        <w:tc>
          <w:tcPr>
            <w:tcW w:w="6362"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vAlign w:val="center"/>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02</w:t>
            </w:r>
          </w:p>
        </w:tc>
        <w:tc>
          <w:tcPr>
            <w:tcW w:w="1559"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0,4% por dia</w:t>
            </w:r>
          </w:p>
        </w:tc>
      </w:tr>
      <w:tr w:rsidR="00BC499A" w:rsidRPr="00BC499A" w:rsidTr="00BC499A">
        <w:tc>
          <w:tcPr>
            <w:tcW w:w="0" w:type="auto"/>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11</w:t>
            </w:r>
          </w:p>
        </w:tc>
        <w:tc>
          <w:tcPr>
            <w:tcW w:w="6362"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Manter a documentação de habilitação atualizada; por item, por ocorrência.</w:t>
            </w:r>
          </w:p>
        </w:tc>
        <w:tc>
          <w:tcPr>
            <w:tcW w:w="992" w:type="dxa"/>
            <w:vAlign w:val="center"/>
          </w:tcPr>
          <w:p w:rsidR="00BC499A" w:rsidRPr="009A53A4" w:rsidRDefault="00BC499A" w:rsidP="009A53A4">
            <w:pPr>
              <w:suppressAutoHyphens/>
              <w:spacing w:line="100" w:lineRule="atLeast"/>
              <w:ind w:right="47"/>
              <w:jc w:val="center"/>
              <w:rPr>
                <w:rFonts w:ascii="Arial" w:hAnsi="Arial" w:cs="Arial"/>
                <w:sz w:val="16"/>
                <w:szCs w:val="16"/>
              </w:rPr>
            </w:pPr>
            <w:r w:rsidRPr="009A53A4">
              <w:rPr>
                <w:rFonts w:ascii="Arial" w:hAnsi="Arial" w:cs="Arial"/>
                <w:sz w:val="16"/>
                <w:szCs w:val="16"/>
              </w:rPr>
              <w:t>01</w:t>
            </w:r>
          </w:p>
        </w:tc>
        <w:tc>
          <w:tcPr>
            <w:tcW w:w="1559" w:type="dxa"/>
            <w:vAlign w:val="center"/>
          </w:tcPr>
          <w:p w:rsidR="00BC499A" w:rsidRPr="009A53A4" w:rsidRDefault="00BC499A" w:rsidP="009A53A4">
            <w:pPr>
              <w:suppressAutoHyphens/>
              <w:spacing w:line="100" w:lineRule="atLeast"/>
              <w:ind w:right="47"/>
              <w:jc w:val="both"/>
              <w:rPr>
                <w:rFonts w:ascii="Arial" w:hAnsi="Arial" w:cs="Arial"/>
                <w:sz w:val="16"/>
                <w:szCs w:val="16"/>
              </w:rPr>
            </w:pPr>
            <w:r w:rsidRPr="009A53A4">
              <w:rPr>
                <w:rFonts w:ascii="Arial" w:hAnsi="Arial" w:cs="Arial"/>
                <w:sz w:val="16"/>
                <w:szCs w:val="16"/>
              </w:rPr>
              <w:t>0,2% por dia</w:t>
            </w:r>
          </w:p>
        </w:tc>
      </w:tr>
    </w:tbl>
    <w:p w:rsidR="00BC499A" w:rsidRPr="009A53A4" w:rsidRDefault="00BC499A" w:rsidP="009A53A4">
      <w:pPr>
        <w:suppressAutoHyphens/>
        <w:spacing w:line="100" w:lineRule="atLeast"/>
        <w:ind w:right="47"/>
        <w:jc w:val="both"/>
        <w:rPr>
          <w:rFonts w:ascii="Arial" w:hAnsi="Arial" w:cs="Arial"/>
          <w:sz w:val="16"/>
          <w:szCs w:val="16"/>
        </w:rPr>
      </w:pP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.11 As sanções aqui previstas poderão ser aplicadas concomitantemente, facultada a defesa previa do interessado, no respectivo processo, no prazo de 05 (cinco) dias úteis;</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.12 Após 30 (trinta) dias da falta de execução do objeto será considerada inexecução total do contrato, o que ensejara a rescisão contratual;</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.13 As sanções de natureza pecuniária serão diretamente descontadas de créditos que eventualmente detenha a CONTRATADA ou efetuada a sua cobrança na forma prevista em lei;</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.15 A autoridade competente, na aplicação das sanções, levará em considerarão a gravidade da conduta do infrator, o caráter educativo da pena, bem como o dano causado a Administração, observado o princípio da proporcionalidade;</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.16 A sanção será obrigatoriamente registrada no Sistema de Cadastramento Unificado de Fornecedores - SICAF, bem como em sistemas Estaduais;</w:t>
      </w:r>
    </w:p>
    <w:p w:rsidR="00BC499A" w:rsidRPr="009A53A4" w:rsidRDefault="009A53A4" w:rsidP="009A53A4">
      <w:pPr>
        <w:suppressAutoHyphens/>
        <w:spacing w:line="360" w:lineRule="auto"/>
        <w:ind w:right="47"/>
        <w:jc w:val="both"/>
        <w:rPr>
          <w:rFonts w:ascii="Arial" w:hAnsi="Arial" w:cs="Arial"/>
          <w:sz w:val="16"/>
          <w:szCs w:val="16"/>
        </w:rPr>
      </w:pPr>
      <w:r>
        <w:rPr>
          <w:rFonts w:ascii="Arial" w:hAnsi="Arial" w:cs="Arial"/>
          <w:sz w:val="16"/>
          <w:szCs w:val="16"/>
        </w:rPr>
        <w:t>9</w:t>
      </w:r>
      <w:r w:rsidR="00BC499A" w:rsidRPr="009A53A4">
        <w:rPr>
          <w:rFonts w:ascii="Arial" w:hAnsi="Arial" w:cs="Arial"/>
          <w:sz w:val="16"/>
          <w:szCs w:val="16"/>
        </w:rPr>
        <w:t>.17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BC499A" w:rsidRPr="009A53A4" w:rsidRDefault="00BC499A" w:rsidP="009A53A4">
      <w:pPr>
        <w:suppressAutoHyphens/>
        <w:spacing w:line="360" w:lineRule="auto"/>
        <w:ind w:right="47"/>
        <w:jc w:val="both"/>
        <w:rPr>
          <w:rFonts w:ascii="Arial" w:hAnsi="Arial" w:cs="Arial"/>
          <w:sz w:val="16"/>
          <w:szCs w:val="16"/>
        </w:rPr>
      </w:pPr>
      <w:r w:rsidRPr="009A53A4">
        <w:rPr>
          <w:rFonts w:ascii="Arial" w:hAnsi="Arial" w:cs="Arial"/>
          <w:sz w:val="16"/>
          <w:szCs w:val="16"/>
        </w:rPr>
        <w:t>a) Tenham sofrido condenações definitivas por praticarem, por meio dolosos, fraude fiscal no recolhimento de tributos;</w:t>
      </w:r>
    </w:p>
    <w:p w:rsidR="00BC499A" w:rsidRPr="009A53A4" w:rsidRDefault="00BC499A" w:rsidP="009A53A4">
      <w:pPr>
        <w:suppressAutoHyphens/>
        <w:spacing w:line="360" w:lineRule="auto"/>
        <w:ind w:right="47"/>
        <w:jc w:val="both"/>
        <w:rPr>
          <w:rFonts w:ascii="Arial" w:hAnsi="Arial" w:cs="Arial"/>
          <w:sz w:val="16"/>
          <w:szCs w:val="16"/>
        </w:rPr>
      </w:pPr>
      <w:r w:rsidRPr="009A53A4">
        <w:rPr>
          <w:rFonts w:ascii="Arial" w:hAnsi="Arial" w:cs="Arial"/>
          <w:sz w:val="16"/>
          <w:szCs w:val="16"/>
        </w:rPr>
        <w:t>b) Tenham praticado atos ilícitos visando a frustrar os objetivos da licitação;</w:t>
      </w:r>
    </w:p>
    <w:p w:rsidR="00BC499A" w:rsidRDefault="00BC499A" w:rsidP="009A53A4">
      <w:pPr>
        <w:suppressAutoHyphens/>
        <w:spacing w:line="360" w:lineRule="auto"/>
        <w:ind w:right="47"/>
        <w:jc w:val="both"/>
        <w:rPr>
          <w:rFonts w:ascii="Arial" w:hAnsi="Arial" w:cs="Arial"/>
          <w:sz w:val="16"/>
          <w:szCs w:val="16"/>
        </w:rPr>
      </w:pPr>
      <w:r w:rsidRPr="009A53A4">
        <w:rPr>
          <w:rFonts w:ascii="Arial" w:hAnsi="Arial" w:cs="Arial"/>
          <w:sz w:val="16"/>
          <w:szCs w:val="16"/>
        </w:rPr>
        <w:t>c) Demonstrem não possuir idoneidade para contratar com a Administração em virtude de atos ilícitos praticados.</w:t>
      </w:r>
    </w:p>
    <w:p w:rsidR="009A53A4" w:rsidRPr="009A53A4" w:rsidRDefault="009A53A4" w:rsidP="009A53A4">
      <w:pPr>
        <w:suppressAutoHyphens/>
        <w:spacing w:line="100" w:lineRule="atLeast"/>
        <w:ind w:right="47"/>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gramStart"/>
      <w:r w:rsidR="00CC63C7" w:rsidRPr="009A54D1">
        <w:rPr>
          <w:rFonts w:ascii="Arial" w:hAnsi="Arial" w:cs="Arial"/>
          <w:sz w:val="16"/>
          <w:szCs w:val="16"/>
        </w:rPr>
        <w:t>sob-hipótese</w:t>
      </w:r>
      <w:proofErr w:type="gram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9F78DE">
        <w:rPr>
          <w:rFonts w:ascii="Arial" w:hAnsi="Arial" w:cs="Arial"/>
          <w:sz w:val="16"/>
          <w:szCs w:val="16"/>
        </w:rPr>
        <w:t xml:space="preserve">Secretaria de Estado da </w:t>
      </w:r>
      <w:r w:rsidR="009F78DE" w:rsidRPr="009F78DE">
        <w:rPr>
          <w:rFonts w:ascii="Arial" w:hAnsi="Arial" w:cs="Arial"/>
          <w:sz w:val="16"/>
          <w:szCs w:val="16"/>
        </w:rPr>
        <w:t>Saúde</w:t>
      </w:r>
      <w:r w:rsidRPr="009F78DE">
        <w:rPr>
          <w:rFonts w:ascii="Arial" w:hAnsi="Arial" w:cs="Arial"/>
          <w:sz w:val="16"/>
          <w:szCs w:val="16"/>
        </w:rPr>
        <w:t xml:space="preserve"> - </w:t>
      </w:r>
      <w:r w:rsidR="009F78DE" w:rsidRPr="009F78DE">
        <w:rPr>
          <w:rFonts w:ascii="Arial" w:hAnsi="Arial" w:cs="Arial"/>
          <w:sz w:val="16"/>
          <w:szCs w:val="16"/>
        </w:rPr>
        <w:t>SESAU</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9A53A4"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DBA" w:rsidRDefault="00356DBA">
      <w:r>
        <w:separator/>
      </w:r>
    </w:p>
  </w:endnote>
  <w:endnote w:type="continuationSeparator" w:id="1">
    <w:p w:rsidR="00356DBA" w:rsidRDefault="00356D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DBA" w:rsidRDefault="00356DBA">
      <w:r>
        <w:separator/>
      </w:r>
    </w:p>
  </w:footnote>
  <w:footnote w:type="continuationSeparator" w:id="1">
    <w:p w:rsidR="00356DBA" w:rsidRDefault="00356D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DBA" w:rsidRDefault="00356DB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2"/>
  </w:num>
  <w:num w:numId="3">
    <w:abstractNumId w:val="10"/>
  </w:num>
  <w:num w:numId="4">
    <w:abstractNumId w:val="8"/>
  </w:num>
  <w:num w:numId="5">
    <w:abstractNumId w:val="24"/>
  </w:num>
  <w:num w:numId="6">
    <w:abstractNumId w:val="23"/>
  </w:num>
  <w:num w:numId="7">
    <w:abstractNumId w:val="33"/>
  </w:num>
  <w:num w:numId="8">
    <w:abstractNumId w:val="19"/>
  </w:num>
  <w:num w:numId="9">
    <w:abstractNumId w:val="21"/>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6"/>
  </w:num>
  <w:num w:numId="15">
    <w:abstractNumId w:val="1"/>
  </w:num>
  <w:num w:numId="16">
    <w:abstractNumId w:val="5"/>
  </w:num>
  <w:num w:numId="17">
    <w:abstractNumId w:val="4"/>
  </w:num>
  <w:num w:numId="18">
    <w:abstractNumId w:val="3"/>
  </w:num>
  <w:num w:numId="19">
    <w:abstractNumId w:val="30"/>
  </w:num>
  <w:num w:numId="20">
    <w:abstractNumId w:val="32"/>
  </w:num>
  <w:num w:numId="21">
    <w:abstractNumId w:val="12"/>
  </w:num>
  <w:num w:numId="22">
    <w:abstractNumId w:val="35"/>
  </w:num>
  <w:num w:numId="23">
    <w:abstractNumId w:val="29"/>
  </w:num>
  <w:num w:numId="24">
    <w:abstractNumId w:val="11"/>
  </w:num>
  <w:num w:numId="25">
    <w:abstractNumId w:val="37"/>
  </w:num>
  <w:num w:numId="26">
    <w:abstractNumId w:val="18"/>
  </w:num>
  <w:num w:numId="27">
    <w:abstractNumId w:val="15"/>
  </w:num>
  <w:num w:numId="28">
    <w:abstractNumId w:val="9"/>
  </w:num>
  <w:num w:numId="29">
    <w:abstractNumId w:val="13"/>
  </w:num>
  <w:num w:numId="30">
    <w:abstractNumId w:val="25"/>
  </w:num>
  <w:num w:numId="31">
    <w:abstractNumId w:val="6"/>
  </w:num>
  <w:num w:numId="32">
    <w:abstractNumId w:val="20"/>
  </w:num>
  <w:num w:numId="33">
    <w:abstractNumId w:val="27"/>
  </w:num>
  <w:num w:numId="34">
    <w:abstractNumId w:val="16"/>
  </w:num>
  <w:num w:numId="35">
    <w:abstractNumId w:val="31"/>
  </w:num>
  <w:num w:numId="36">
    <w:abstractNumId w:val="17"/>
  </w:num>
  <w:num w:numId="3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2FE1"/>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3ADC"/>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56DBA"/>
    <w:rsid w:val="003645F7"/>
    <w:rsid w:val="003659F4"/>
    <w:rsid w:val="003721B4"/>
    <w:rsid w:val="003725DB"/>
    <w:rsid w:val="003751B5"/>
    <w:rsid w:val="003860D7"/>
    <w:rsid w:val="00386665"/>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00BF"/>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7C5"/>
    <w:rsid w:val="009A3C8C"/>
    <w:rsid w:val="009A4671"/>
    <w:rsid w:val="009A53A4"/>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69C6"/>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499A"/>
    <w:rsid w:val="00BC5DB9"/>
    <w:rsid w:val="00BC78FB"/>
    <w:rsid w:val="00BD144B"/>
    <w:rsid w:val="00BD56FC"/>
    <w:rsid w:val="00BD59B6"/>
    <w:rsid w:val="00BE4D18"/>
    <w:rsid w:val="00BF0AC8"/>
    <w:rsid w:val="00BF0CAB"/>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C24"/>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146BC2-2FB5-4A1D-9D27-B2C64A232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3147</Words>
  <Characters>17579</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2017-06-28T12:20:00Z</cp:lastPrinted>
  <dcterms:created xsi:type="dcterms:W3CDTF">2017-06-27T16:42:00Z</dcterms:created>
  <dcterms:modified xsi:type="dcterms:W3CDTF">2017-06-28T12:24:00Z</dcterms:modified>
</cp:coreProperties>
</file>