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w:t>
      </w:r>
      <w:r w:rsidR="002B132C">
        <w:rPr>
          <w:rFonts w:ascii="Arial" w:hAnsi="Arial" w:cs="Arial"/>
          <w:sz w:val="16"/>
          <w:szCs w:val="16"/>
        </w:rPr>
        <w:t>20</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2B132C">
        <w:rPr>
          <w:rFonts w:ascii="Arial" w:hAnsi="Arial" w:cs="Arial"/>
          <w:bCs/>
          <w:sz w:val="16"/>
          <w:szCs w:val="16"/>
        </w:rPr>
        <w:t>34</w:t>
      </w:r>
      <w:r w:rsidR="005C2262">
        <w:rPr>
          <w:rFonts w:ascii="Arial" w:hAnsi="Arial" w:cs="Arial"/>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2B132C">
        <w:rPr>
          <w:rFonts w:ascii="Arial" w:hAnsi="Arial" w:cs="Arial"/>
          <w:bCs/>
          <w:sz w:val="16"/>
          <w:szCs w:val="16"/>
        </w:rPr>
        <w:t>308.00162-00</w:t>
      </w:r>
      <w:r w:rsidR="00EA06CB">
        <w:rPr>
          <w:rFonts w:ascii="Arial" w:hAnsi="Arial" w:cs="Arial"/>
          <w:bCs/>
          <w:sz w:val="16"/>
          <w:szCs w:val="16"/>
        </w:rPr>
        <w:t>/201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9843D3">
        <w:rPr>
          <w:rFonts w:ascii="Arial" w:hAnsi="Arial" w:cs="Arial"/>
          <w:sz w:val="16"/>
          <w:szCs w:val="16"/>
        </w:rPr>
        <w:t>PREÇ</w:t>
      </w:r>
      <w:r w:rsidR="00F17DD3" w:rsidRPr="009843D3">
        <w:rPr>
          <w:rFonts w:ascii="Arial" w:hAnsi="Arial" w:cs="Arial"/>
          <w:sz w:val="16"/>
          <w:szCs w:val="16"/>
        </w:rPr>
        <w:t xml:space="preserve">O </w:t>
      </w:r>
      <w:r w:rsidR="00EF1FC6" w:rsidRPr="009843D3">
        <w:rPr>
          <w:rFonts w:ascii="Arial" w:hAnsi="Arial" w:cs="Arial"/>
          <w:sz w:val="16"/>
          <w:szCs w:val="16"/>
        </w:rPr>
        <w:t xml:space="preserve">para futura e eventual </w:t>
      </w:r>
      <w:r w:rsidR="009843D3" w:rsidRPr="009843D3">
        <w:rPr>
          <w:rFonts w:ascii="Arial" w:hAnsi="Arial" w:cs="Arial"/>
          <w:sz w:val="16"/>
          <w:szCs w:val="16"/>
        </w:rPr>
        <w:t>aquisição de água mineral para atender aos órgãos da Administração Direta e Indireta do Governo do Estado de Rondônia</w:t>
      </w:r>
      <w:r w:rsidR="00EF1FC6" w:rsidRPr="009843D3">
        <w:rPr>
          <w:rFonts w:ascii="Arial" w:hAnsi="Arial" w:cs="Arial"/>
          <w:sz w:val="16"/>
          <w:szCs w:val="16"/>
        </w:rPr>
        <w:t xml:space="preserve">, </w:t>
      </w:r>
      <w:r w:rsidR="009843D3">
        <w:rPr>
          <w:rFonts w:ascii="Arial" w:hAnsi="Arial" w:cs="Arial"/>
          <w:sz w:val="16"/>
          <w:szCs w:val="16"/>
        </w:rPr>
        <w:t>a pedido da Superintendência Estadual de Licitações – SUPEL,</w:t>
      </w:r>
      <w:r w:rsidR="009843D3" w:rsidRPr="009843D3">
        <w:rPr>
          <w:rFonts w:ascii="Arial" w:hAnsi="Arial" w:cs="Arial"/>
          <w:sz w:val="16"/>
          <w:szCs w:val="16"/>
        </w:rPr>
        <w:t xml:space="preserve"> </w:t>
      </w:r>
      <w:r w:rsidR="00DF042C" w:rsidRPr="009843D3">
        <w:rPr>
          <w:rFonts w:ascii="Arial" w:hAnsi="Arial" w:cs="Arial"/>
          <w:sz w:val="16"/>
          <w:szCs w:val="16"/>
        </w:rPr>
        <w:t xml:space="preserve">por um período de 12 (doze) meses, </w:t>
      </w:r>
      <w:r w:rsidRPr="009843D3">
        <w:rPr>
          <w:rFonts w:ascii="Arial" w:hAnsi="Arial" w:cs="Arial"/>
          <w:sz w:val="16"/>
          <w:szCs w:val="16"/>
        </w:rPr>
        <w:t>conforme Anexo Único</w:t>
      </w:r>
      <w:r w:rsidRPr="00D77649">
        <w:rPr>
          <w:rFonts w:ascii="Arial" w:hAnsi="Arial" w:cs="Arial"/>
          <w:sz w:val="16"/>
          <w:szCs w:val="16"/>
        </w:rPr>
        <w:t xml:space="preserve">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3C5D6F" w:rsidRPr="003C5D6F">
        <w:rPr>
          <w:rFonts w:ascii="Arial" w:hAnsi="Arial" w:cs="Arial"/>
          <w:sz w:val="16"/>
          <w:szCs w:val="16"/>
        </w:rPr>
        <w:t xml:space="preserve">para futura e eventual </w:t>
      </w:r>
      <w:r w:rsidR="009843D3" w:rsidRPr="009843D3">
        <w:rPr>
          <w:rFonts w:ascii="Arial" w:hAnsi="Arial" w:cs="Arial"/>
          <w:sz w:val="16"/>
          <w:szCs w:val="16"/>
        </w:rPr>
        <w:t xml:space="preserve">aquisição de água mineral para atender aos órgãos da Administração Direta e Indireta do Governo do Estado de Rondônia, </w:t>
      </w:r>
      <w:r w:rsidR="009843D3">
        <w:rPr>
          <w:rFonts w:ascii="Arial" w:hAnsi="Arial" w:cs="Arial"/>
          <w:sz w:val="16"/>
          <w:szCs w:val="16"/>
        </w:rPr>
        <w:t>a pedido da Superintendência Estadual de Licitações – SUPEL</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2B132C" w:rsidRPr="009A54D1" w:rsidRDefault="002B132C"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Pr="0098143E" w:rsidRDefault="004B50C5" w:rsidP="00EF1FC6">
      <w:pPr>
        <w:jc w:val="both"/>
        <w:rPr>
          <w:rFonts w:ascii="Arial" w:hAnsi="Arial" w:cs="Arial"/>
          <w:sz w:val="16"/>
          <w:szCs w:val="16"/>
        </w:rPr>
      </w:pPr>
      <w:r w:rsidRPr="0098143E">
        <w:rPr>
          <w:rFonts w:ascii="Arial" w:hAnsi="Arial" w:cs="Arial"/>
          <w:sz w:val="16"/>
          <w:szCs w:val="16"/>
        </w:rPr>
        <w:t>6.3</w:t>
      </w:r>
      <w:r w:rsidR="001643CD" w:rsidRPr="0098143E">
        <w:rPr>
          <w:rFonts w:ascii="Arial" w:hAnsi="Arial" w:cs="Arial"/>
          <w:sz w:val="16"/>
          <w:szCs w:val="16"/>
        </w:rPr>
        <w:t>.</w:t>
      </w:r>
      <w:r w:rsidRPr="0098143E">
        <w:rPr>
          <w:rFonts w:ascii="Arial" w:hAnsi="Arial" w:cs="Arial"/>
          <w:sz w:val="16"/>
          <w:szCs w:val="16"/>
        </w:rPr>
        <w:t xml:space="preserve"> </w:t>
      </w:r>
      <w:r w:rsidR="00F17DD3" w:rsidRPr="0098143E">
        <w:rPr>
          <w:rFonts w:ascii="Arial" w:hAnsi="Arial" w:cs="Arial"/>
          <w:b/>
          <w:sz w:val="16"/>
          <w:szCs w:val="16"/>
        </w:rPr>
        <w:t>PRAZO DE ENTREGA:</w:t>
      </w:r>
      <w:r w:rsidR="00F111D9" w:rsidRPr="0098143E">
        <w:rPr>
          <w:rFonts w:ascii="Arial" w:hAnsi="Arial" w:cs="Arial"/>
          <w:sz w:val="16"/>
          <w:szCs w:val="16"/>
        </w:rPr>
        <w:t xml:space="preserve"> </w:t>
      </w:r>
      <w:r w:rsidR="0098143E" w:rsidRPr="0098143E">
        <w:rPr>
          <w:rFonts w:ascii="Arial" w:hAnsi="Arial" w:cs="Arial"/>
          <w:sz w:val="16"/>
          <w:szCs w:val="16"/>
        </w:rPr>
        <w:t xml:space="preserve">O </w:t>
      </w:r>
      <w:r w:rsidR="0098143E" w:rsidRPr="0098143E">
        <w:rPr>
          <w:rFonts w:ascii="Arial" w:hAnsi="Arial" w:cs="Arial"/>
          <w:bCs/>
          <w:sz w:val="16"/>
          <w:szCs w:val="16"/>
        </w:rPr>
        <w:t xml:space="preserve">prazo de entrega dos itens, </w:t>
      </w:r>
      <w:r w:rsidR="0098143E" w:rsidRPr="0098143E">
        <w:rPr>
          <w:rFonts w:ascii="Arial" w:hAnsi="Arial" w:cs="Arial"/>
          <w:sz w:val="16"/>
          <w:szCs w:val="16"/>
        </w:rPr>
        <w:t>objeto desta Ata, será de até</w:t>
      </w:r>
      <w:r w:rsidR="0098143E" w:rsidRPr="0098143E">
        <w:rPr>
          <w:rFonts w:ascii="Arial" w:hAnsi="Arial" w:cs="Arial"/>
          <w:b/>
          <w:bCs/>
          <w:sz w:val="16"/>
          <w:szCs w:val="16"/>
        </w:rPr>
        <w:t xml:space="preserve"> 10 (dez) dias</w:t>
      </w:r>
      <w:r w:rsidR="0098143E" w:rsidRPr="0098143E">
        <w:rPr>
          <w:rFonts w:ascii="Arial" w:hAnsi="Arial" w:cs="Arial"/>
          <w:sz w:val="16"/>
          <w:szCs w:val="16"/>
        </w:rPr>
        <w:t>, contados da data do recebimento da Nota de Empenho ou assinatura do contrato. Este prazo poderá ser dilatado em casos excepcionais, mediante apresentação de justificativa, com concordância da Administração</w:t>
      </w:r>
      <w:r w:rsidR="00EF1FC6" w:rsidRPr="0098143E">
        <w:rPr>
          <w:rFonts w:ascii="Arial" w:hAnsi="Arial" w:cs="Arial"/>
          <w:sz w:val="16"/>
          <w:szCs w:val="16"/>
        </w:rPr>
        <w:t>.</w:t>
      </w:r>
    </w:p>
    <w:p w:rsidR="002D55DF" w:rsidRPr="0098143E" w:rsidRDefault="002D55DF" w:rsidP="00FD59F7">
      <w:pPr>
        <w:jc w:val="both"/>
        <w:rPr>
          <w:rFonts w:ascii="Arial" w:hAnsi="Arial" w:cs="Arial"/>
          <w:sz w:val="16"/>
          <w:szCs w:val="16"/>
        </w:rPr>
      </w:pPr>
    </w:p>
    <w:p w:rsidR="001606A8" w:rsidRPr="0098143E" w:rsidRDefault="00F23872" w:rsidP="00EF1FC6">
      <w:pPr>
        <w:jc w:val="both"/>
        <w:rPr>
          <w:rFonts w:ascii="Arial" w:hAnsi="Arial" w:cs="Arial"/>
          <w:sz w:val="16"/>
          <w:szCs w:val="16"/>
        </w:rPr>
      </w:pPr>
      <w:r w:rsidRPr="0098143E">
        <w:rPr>
          <w:rFonts w:ascii="Arial" w:hAnsi="Arial" w:cs="Arial"/>
          <w:sz w:val="16"/>
          <w:szCs w:val="16"/>
        </w:rPr>
        <w:t>6</w:t>
      </w:r>
      <w:r w:rsidR="00F111D9" w:rsidRPr="0098143E">
        <w:rPr>
          <w:rFonts w:ascii="Arial" w:hAnsi="Arial" w:cs="Arial"/>
          <w:sz w:val="16"/>
          <w:szCs w:val="16"/>
        </w:rPr>
        <w:t>.4</w:t>
      </w:r>
      <w:r w:rsidR="001643CD" w:rsidRPr="0098143E">
        <w:rPr>
          <w:rFonts w:ascii="Arial" w:hAnsi="Arial" w:cs="Arial"/>
          <w:sz w:val="16"/>
          <w:szCs w:val="16"/>
        </w:rPr>
        <w:t>.</w:t>
      </w:r>
      <w:r w:rsidRPr="0098143E">
        <w:rPr>
          <w:rFonts w:ascii="Arial" w:hAnsi="Arial" w:cs="Arial"/>
          <w:sz w:val="16"/>
          <w:szCs w:val="16"/>
        </w:rPr>
        <w:t xml:space="preserve"> </w:t>
      </w:r>
      <w:r w:rsidR="00F17DD3" w:rsidRPr="0098143E">
        <w:rPr>
          <w:rFonts w:ascii="Arial" w:hAnsi="Arial" w:cs="Arial"/>
          <w:b/>
          <w:sz w:val="16"/>
          <w:szCs w:val="16"/>
        </w:rPr>
        <w:t>LOCAL/HORÁRIOS:</w:t>
      </w:r>
      <w:r w:rsidR="00F17DD3" w:rsidRPr="0098143E">
        <w:rPr>
          <w:rFonts w:ascii="Arial" w:hAnsi="Arial" w:cs="Arial"/>
          <w:sz w:val="16"/>
          <w:szCs w:val="16"/>
        </w:rPr>
        <w:t xml:space="preserve"> </w:t>
      </w:r>
      <w:r w:rsidR="0098143E" w:rsidRPr="0098143E">
        <w:rPr>
          <w:rFonts w:ascii="Arial" w:hAnsi="Arial" w:cs="Arial"/>
          <w:sz w:val="16"/>
          <w:szCs w:val="16"/>
        </w:rPr>
        <w:t xml:space="preserve">O objeto será entregue no seguinte endereço: Almoxarifado Central do Governo do Estado de Rondônia – Rua: Antônio Lacerda; n°. 4168; Bairro: Setor Industrial, na cidade de Porto Velho – RO, no horário das </w:t>
      </w:r>
      <w:proofErr w:type="gramStart"/>
      <w:r w:rsidR="0098143E" w:rsidRPr="0098143E">
        <w:rPr>
          <w:rFonts w:ascii="Arial" w:hAnsi="Arial" w:cs="Arial"/>
          <w:sz w:val="16"/>
          <w:szCs w:val="16"/>
        </w:rPr>
        <w:t>7:30</w:t>
      </w:r>
      <w:proofErr w:type="gramEnd"/>
      <w:r w:rsidR="0098143E" w:rsidRPr="0098143E">
        <w:rPr>
          <w:rFonts w:ascii="Arial" w:hAnsi="Arial" w:cs="Arial"/>
          <w:sz w:val="16"/>
          <w:szCs w:val="16"/>
        </w:rPr>
        <w:t xml:space="preserve"> às 13:30 horas</w:t>
      </w:r>
      <w:r w:rsidR="00EF1FC6" w:rsidRPr="0098143E">
        <w:rPr>
          <w:rFonts w:ascii="Arial" w:hAnsi="Arial" w:cs="Arial"/>
          <w:sz w:val="16"/>
          <w:szCs w:val="16"/>
        </w:rPr>
        <w:t>.</w:t>
      </w:r>
    </w:p>
    <w:p w:rsidR="00EF1FC6" w:rsidRPr="003C5D6F"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9D2314"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2B132C" w:rsidRPr="00EF1FC6" w:rsidRDefault="002B132C" w:rsidP="002B132C">
      <w:pPr>
        <w:pStyle w:val="PargrafodaLista"/>
        <w:ind w:left="360"/>
        <w:jc w:val="both"/>
        <w:rPr>
          <w:rFonts w:ascii="Arial" w:hAnsi="Arial" w:cs="Arial"/>
          <w:b/>
          <w:sz w:val="16"/>
          <w:szCs w:val="16"/>
        </w:rPr>
      </w:pP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Default="009D2314" w:rsidP="002B132C">
      <w:pPr>
        <w:pStyle w:val="NormalWeb"/>
        <w:numPr>
          <w:ilvl w:val="0"/>
          <w:numId w:val="3"/>
        </w:numPr>
        <w:spacing w:before="0" w:beforeAutospacing="0" w:after="0" w:afterAutospacing="0"/>
        <w:jc w:val="both"/>
        <w:rPr>
          <w:rFonts w:ascii="Arial" w:hAnsi="Arial" w:cs="Arial"/>
          <w:b/>
          <w:bCs/>
          <w:sz w:val="16"/>
          <w:szCs w:val="16"/>
        </w:rPr>
      </w:pPr>
      <w:r w:rsidRPr="009A54D1">
        <w:rPr>
          <w:rFonts w:ascii="Arial" w:hAnsi="Arial" w:cs="Arial"/>
          <w:b/>
          <w:bCs/>
          <w:sz w:val="16"/>
          <w:szCs w:val="16"/>
        </w:rPr>
        <w:t>DA DOTAÇÃO ORÇAMENTÁRIA</w:t>
      </w:r>
      <w:r w:rsidR="00EF1FC6">
        <w:rPr>
          <w:rFonts w:ascii="Arial" w:hAnsi="Arial" w:cs="Arial"/>
          <w:b/>
          <w:bCs/>
          <w:sz w:val="16"/>
          <w:szCs w:val="16"/>
        </w:rPr>
        <w:t>:</w:t>
      </w:r>
    </w:p>
    <w:p w:rsidR="002B132C" w:rsidRPr="009A54D1" w:rsidRDefault="002B132C" w:rsidP="002B132C">
      <w:pPr>
        <w:pStyle w:val="NormalWeb"/>
        <w:spacing w:before="0" w:beforeAutospacing="0" w:after="0" w:afterAutospacing="0"/>
        <w:ind w:left="36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2B132C" w:rsidRPr="0098143E" w:rsidRDefault="002B132C" w:rsidP="003658C9">
      <w:pPr>
        <w:spacing w:line="360" w:lineRule="auto"/>
        <w:jc w:val="both"/>
        <w:rPr>
          <w:rFonts w:ascii="Arial" w:hAnsi="Arial" w:cs="Arial"/>
          <w:sz w:val="16"/>
          <w:szCs w:val="16"/>
          <w:shd w:val="clear" w:color="auto" w:fill="FFFFFF"/>
        </w:rPr>
      </w:pPr>
    </w:p>
    <w:p w:rsidR="0098143E" w:rsidRPr="0098143E" w:rsidRDefault="0098143E" w:rsidP="0098143E">
      <w:pPr>
        <w:spacing w:line="276" w:lineRule="auto"/>
        <w:rPr>
          <w:rFonts w:ascii="Arial" w:hAnsi="Arial" w:cs="Arial"/>
          <w:sz w:val="16"/>
          <w:szCs w:val="16"/>
        </w:rPr>
      </w:pPr>
      <w:r w:rsidRPr="0098143E">
        <w:rPr>
          <w:rFonts w:ascii="Arial" w:hAnsi="Arial" w:cs="Arial"/>
          <w:bCs/>
          <w:i/>
          <w:sz w:val="16"/>
          <w:szCs w:val="16"/>
        </w:rPr>
        <w:t>(Base Legal: art. 40, inciso III da Lei 8.666/93; art. 9º, V c/c § 2º do Decreto 5450/05; art. 3º, I, Lei 10520/02</w:t>
      </w:r>
      <w:proofErr w:type="gramStart"/>
      <w:r w:rsidRPr="0098143E">
        <w:rPr>
          <w:rFonts w:ascii="Arial" w:hAnsi="Arial" w:cs="Arial"/>
          <w:bCs/>
          <w:i/>
          <w:sz w:val="16"/>
          <w:szCs w:val="16"/>
        </w:rPr>
        <w:t>)</w:t>
      </w:r>
      <w:proofErr w:type="gramEnd"/>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jc w:val="both"/>
        <w:rPr>
          <w:rFonts w:ascii="Arial" w:hAnsi="Arial" w:cs="Arial"/>
          <w:sz w:val="16"/>
          <w:szCs w:val="16"/>
        </w:rPr>
      </w:pPr>
    </w:p>
    <w:p w:rsidR="0098143E" w:rsidRPr="0098143E" w:rsidRDefault="0098143E" w:rsidP="0098143E">
      <w:pPr>
        <w:jc w:val="both"/>
        <w:rPr>
          <w:rFonts w:ascii="Arial" w:hAnsi="Arial" w:cs="Arial"/>
          <w:sz w:val="16"/>
          <w:szCs w:val="16"/>
        </w:rPr>
      </w:pPr>
      <w:r>
        <w:rPr>
          <w:rFonts w:ascii="Arial" w:hAnsi="Arial" w:cs="Arial"/>
          <w:sz w:val="16"/>
          <w:szCs w:val="16"/>
        </w:rPr>
        <w:t>9.</w:t>
      </w:r>
      <w:r w:rsidRPr="0098143E">
        <w:rPr>
          <w:rFonts w:ascii="Arial" w:hAnsi="Arial" w:cs="Arial"/>
          <w:sz w:val="16"/>
          <w:szCs w:val="16"/>
        </w:rPr>
        <w:t>1. Além daquelas determinadas por leis, decretos, regulamentos e demais dispositivos legais, a CONTRATADA estará sujeita a:</w:t>
      </w:r>
    </w:p>
    <w:p w:rsidR="0098143E" w:rsidRPr="0098143E" w:rsidRDefault="0098143E" w:rsidP="0098143E">
      <w:pPr>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 xml:space="preserve">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98143E">
        <w:rPr>
          <w:rFonts w:ascii="Arial" w:hAnsi="Arial" w:cs="Arial"/>
          <w:sz w:val="16"/>
          <w:szCs w:val="16"/>
        </w:rPr>
        <w:t>descredenciado no Cadastro de Fornecedores Estadual</w:t>
      </w:r>
      <w:proofErr w:type="gramEnd"/>
      <w:r w:rsidRPr="0098143E">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142"/>
        </w:tabs>
        <w:jc w:val="both"/>
        <w:rPr>
          <w:rFonts w:ascii="Arial" w:hAnsi="Arial" w:cs="Arial"/>
          <w:vanish/>
          <w:sz w:val="16"/>
          <w:szCs w:val="16"/>
        </w:rPr>
      </w:pPr>
      <w:r>
        <w:rPr>
          <w:rFonts w:ascii="Arial" w:hAnsi="Arial" w:cs="Arial"/>
          <w:sz w:val="16"/>
          <w:szCs w:val="16"/>
        </w:rPr>
        <w:t>9.</w:t>
      </w:r>
      <w:r w:rsidRPr="0098143E">
        <w:rPr>
          <w:rFonts w:ascii="Arial" w:hAnsi="Arial" w:cs="Arial"/>
          <w:sz w:val="16"/>
          <w:szCs w:val="16"/>
        </w:rPr>
        <w:t xml:space="preserve">6 </w:t>
      </w:r>
    </w:p>
    <w:p w:rsidR="0098143E" w:rsidRPr="0098143E" w:rsidRDefault="0098143E" w:rsidP="0098143E">
      <w:pPr>
        <w:pStyle w:val="PargrafodaLista"/>
        <w:numPr>
          <w:ilvl w:val="1"/>
          <w:numId w:val="15"/>
        </w:numPr>
        <w:tabs>
          <w:tab w:val="left" w:pos="-142"/>
          <w:tab w:val="left" w:pos="0"/>
          <w:tab w:val="left" w:pos="142"/>
          <w:tab w:val="left" w:pos="284"/>
          <w:tab w:val="left" w:pos="567"/>
        </w:tabs>
        <w:suppressAutoHyphens/>
        <w:ind w:left="0" w:firstLine="0"/>
        <w:contextualSpacing w:val="0"/>
        <w:jc w:val="both"/>
        <w:rPr>
          <w:rFonts w:ascii="Arial" w:hAnsi="Arial" w:cs="Arial"/>
          <w:vanish/>
          <w:sz w:val="16"/>
          <w:szCs w:val="16"/>
        </w:rPr>
      </w:pPr>
    </w:p>
    <w:p w:rsidR="0098143E" w:rsidRPr="0098143E" w:rsidRDefault="0098143E" w:rsidP="0098143E">
      <w:pPr>
        <w:pStyle w:val="SemEspaamento"/>
        <w:tabs>
          <w:tab w:val="left" w:pos="-142"/>
          <w:tab w:val="left" w:pos="0"/>
          <w:tab w:val="left" w:pos="142"/>
          <w:tab w:val="left" w:pos="567"/>
        </w:tabs>
        <w:jc w:val="both"/>
        <w:rPr>
          <w:rFonts w:ascii="Arial" w:hAnsi="Arial" w:cs="Arial"/>
          <w:sz w:val="16"/>
          <w:szCs w:val="16"/>
        </w:rPr>
      </w:pPr>
      <w:r w:rsidRPr="0098143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98143E" w:rsidRPr="0098143E" w:rsidRDefault="0098143E" w:rsidP="0098143E">
      <w:pPr>
        <w:pStyle w:val="SemEspaamento"/>
        <w:tabs>
          <w:tab w:val="left" w:pos="-142"/>
          <w:tab w:val="left" w:pos="0"/>
          <w:tab w:val="left" w:pos="142"/>
          <w:tab w:val="left" w:pos="567"/>
        </w:tabs>
        <w:ind w:left="1135"/>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 w:val="left" w:pos="284"/>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8143E" w:rsidRPr="0098143E" w:rsidRDefault="0098143E" w:rsidP="0098143E">
      <w:pPr>
        <w:pStyle w:val="SemEspaamento"/>
        <w:tabs>
          <w:tab w:val="left" w:pos="0"/>
          <w:tab w:val="left" w:pos="284"/>
        </w:tabs>
        <w:jc w:val="both"/>
        <w:rPr>
          <w:rFonts w:ascii="Arial" w:hAnsi="Arial" w:cs="Arial"/>
          <w:sz w:val="16"/>
          <w:szCs w:val="16"/>
        </w:rPr>
      </w:pPr>
    </w:p>
    <w:p w:rsidR="0098143E" w:rsidRPr="0098143E" w:rsidRDefault="0098143E" w:rsidP="0098143E">
      <w:pPr>
        <w:pStyle w:val="SemEspaamento"/>
        <w:tabs>
          <w:tab w:val="left" w:pos="0"/>
          <w:tab w:val="left" w:pos="284"/>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9. São exemplos de infração administrativa penalizáveis, nos termos da Lei nº 8.666, de 1993, da Lei nº 10.520, de 2002, do Decreto nº 3.555, de 2000, e do Decreto nº 5.450, de 2005:</w:t>
      </w:r>
    </w:p>
    <w:p w:rsidR="0098143E" w:rsidRPr="0098143E" w:rsidRDefault="0098143E" w:rsidP="0098143E">
      <w:pPr>
        <w:pStyle w:val="SemEspaamento"/>
        <w:tabs>
          <w:tab w:val="left" w:pos="-142"/>
          <w:tab w:val="left" w:pos="0"/>
          <w:tab w:val="left" w:pos="142"/>
          <w:tab w:val="left" w:pos="284"/>
          <w:tab w:val="left" w:pos="567"/>
        </w:tabs>
        <w:jc w:val="both"/>
        <w:rPr>
          <w:rFonts w:ascii="Arial" w:hAnsi="Arial" w:cs="Arial"/>
          <w:sz w:val="16"/>
          <w:szCs w:val="16"/>
        </w:rPr>
      </w:pP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Inexecução total ou parcial do contrato;</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Apresentação de documentação falsa;</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Comportamento inidôneo;</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Fraude fiscal;</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Descumprimento de qualquer dos deveres elencados no Edital ou no Contrato.</w:t>
      </w:r>
    </w:p>
    <w:p w:rsidR="0098143E" w:rsidRPr="0098143E" w:rsidRDefault="0098143E" w:rsidP="0098143E">
      <w:pPr>
        <w:tabs>
          <w:tab w:val="left" w:pos="851"/>
        </w:tabs>
        <w:ind w:left="567"/>
        <w:contextualSpacing/>
        <w:jc w:val="both"/>
        <w:rPr>
          <w:rFonts w:ascii="Arial" w:hAnsi="Arial" w:cs="Arial"/>
          <w:sz w:val="16"/>
          <w:szCs w:val="16"/>
        </w:rPr>
      </w:pPr>
    </w:p>
    <w:p w:rsidR="0098143E" w:rsidRPr="0098143E" w:rsidRDefault="0098143E" w:rsidP="0098143E">
      <w:pPr>
        <w:pStyle w:val="SemEspaamento"/>
        <w:tabs>
          <w:tab w:val="left" w:pos="0"/>
          <w:tab w:val="left" w:pos="426"/>
          <w:tab w:val="left" w:pos="567"/>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10. As sanções serão aplicadas sem prejuízo da responsabilidade civil e criminal que possa ser acionada em desfavor da Contratada, conforme infração cometida e prejuízos causados à administração ou a terceiros.</w:t>
      </w:r>
    </w:p>
    <w:p w:rsidR="0098143E" w:rsidRPr="0098143E" w:rsidRDefault="0098143E" w:rsidP="0098143E">
      <w:pPr>
        <w:pStyle w:val="SemEspaamento"/>
        <w:tabs>
          <w:tab w:val="left" w:pos="0"/>
          <w:tab w:val="left" w:pos="426"/>
          <w:tab w:val="left" w:pos="567"/>
        </w:tabs>
        <w:jc w:val="both"/>
        <w:rPr>
          <w:rFonts w:ascii="Arial" w:hAnsi="Arial" w:cs="Arial"/>
          <w:sz w:val="16"/>
          <w:szCs w:val="16"/>
        </w:rPr>
      </w:pPr>
    </w:p>
    <w:p w:rsidR="0098143E" w:rsidRPr="0098143E" w:rsidRDefault="0098143E" w:rsidP="0098143E">
      <w:pPr>
        <w:pStyle w:val="SemEspaamento"/>
        <w:tabs>
          <w:tab w:val="left" w:pos="0"/>
          <w:tab w:val="left" w:pos="567"/>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11. Para efeito de aplicação de multas, às infrações são atribuídos graus, com percentuais de multa conforme a tabela a seguir, que elenca apenas as principais situações previstas, não eximindo de outras equivalentes que surgirem, conforme o caso:</w:t>
      </w:r>
    </w:p>
    <w:p w:rsidR="0098143E" w:rsidRPr="0098143E" w:rsidRDefault="0098143E" w:rsidP="0098143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98143E" w:rsidRPr="0098143E" w:rsidTr="00A972FB">
        <w:tc>
          <w:tcPr>
            <w:tcW w:w="697" w:type="dxa"/>
          </w:tcPr>
          <w:p w:rsidR="0098143E" w:rsidRPr="0098143E" w:rsidRDefault="0098143E" w:rsidP="00A972FB">
            <w:pPr>
              <w:autoSpaceDE w:val="0"/>
              <w:autoSpaceDN w:val="0"/>
              <w:adjustRightInd w:val="0"/>
              <w:ind w:left="-82" w:right="-147"/>
              <w:jc w:val="center"/>
              <w:rPr>
                <w:rFonts w:ascii="Arial" w:hAnsi="Arial" w:cs="Arial"/>
                <w:bCs/>
                <w:sz w:val="16"/>
                <w:szCs w:val="16"/>
              </w:rPr>
            </w:pPr>
            <w:r w:rsidRPr="0098143E">
              <w:rPr>
                <w:rFonts w:ascii="Arial" w:hAnsi="Arial" w:cs="Arial"/>
                <w:bCs/>
                <w:sz w:val="16"/>
                <w:szCs w:val="16"/>
              </w:rPr>
              <w:t>ITEM</w:t>
            </w:r>
          </w:p>
        </w:tc>
        <w:tc>
          <w:tcPr>
            <w:tcW w:w="6471"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DESCRIÇÃO DA INFRAÇÃO</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GRAU</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MULTA*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Permitir situação que crie a possibilidade ou cause dano físico, lesão corporal ou consequências letais;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06</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4,0% por dia</w:t>
            </w:r>
          </w:p>
        </w:tc>
      </w:tr>
      <w:tr w:rsidR="0098143E" w:rsidRPr="0098143E" w:rsidTr="00A972FB">
        <w:trPr>
          <w:trHeight w:val="600"/>
        </w:trPr>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Usar indevidamente informações sigilosas a que teve acesso;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06</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4,0%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 xml:space="preserve">Suspender ou interromper, salvo por motivo de força maior ou caso fortuito, os serviços </w:t>
            </w:r>
            <w:r w:rsidRPr="0098143E">
              <w:rPr>
                <w:rFonts w:ascii="Arial" w:hAnsi="Arial" w:cs="Arial"/>
                <w:sz w:val="16"/>
                <w:szCs w:val="16"/>
              </w:rPr>
              <w:lastRenderedPageBreak/>
              <w:t>contratuais por dia e por unidade de atendimento;</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lastRenderedPageBreak/>
              <w:t>05</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3,2%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Destruir ou danificar documentos por culpa ou dolo de seus agentes;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05</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3,2%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Recusar-se a executar serviço determinado pela FISCALIZAÇÃO, sem motivo justificado;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04</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1,6%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02</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0,4% por dia</w:t>
            </w:r>
          </w:p>
        </w:tc>
      </w:tr>
      <w:tr w:rsidR="0098143E" w:rsidRPr="0098143E" w:rsidTr="00A972FB">
        <w:tc>
          <w:tcPr>
            <w:tcW w:w="9532" w:type="dxa"/>
            <w:gridSpan w:val="4"/>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 xml:space="preserve"> Para os itens a seguir, deixar de:</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05</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3,2%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03</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0,8% por dia</w:t>
            </w:r>
          </w:p>
        </w:tc>
      </w:tr>
      <w:tr w:rsidR="0098143E" w:rsidRPr="0098143E" w:rsidTr="00A972FB">
        <w:trPr>
          <w:trHeight w:val="797"/>
        </w:trPr>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both"/>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Cumprir determinação formal ou instrução complementar da</w:t>
            </w:r>
          </w:p>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FISCALIZAÇÃO,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03</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0,8%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both"/>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Iniciar execução de serviço nos prazos estabelecidos, observados os limites mínimos estabelecidos por este Contrato; por serviço,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02</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0,4% por dia</w:t>
            </w:r>
          </w:p>
        </w:tc>
      </w:tr>
      <w:tr w:rsidR="0098143E" w:rsidRPr="0098143E" w:rsidTr="00A972FB">
        <w:trPr>
          <w:trHeight w:val="219"/>
        </w:trPr>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Manter a documentação de habilitação atualizada; por item,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01</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i/>
                <w:sz w:val="16"/>
                <w:szCs w:val="16"/>
              </w:rPr>
            </w:pPr>
            <w:r w:rsidRPr="0098143E">
              <w:rPr>
                <w:rFonts w:ascii="Arial" w:hAnsi="Arial" w:cs="Arial"/>
                <w:sz w:val="16"/>
                <w:szCs w:val="16"/>
              </w:rPr>
              <w:t>Substituir funcionário que se conduza de modo inconveniente ou não atenda às necessidades do Órgão, por funcionário e por dia;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01</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0,2% por dia</w:t>
            </w:r>
          </w:p>
        </w:tc>
      </w:tr>
    </w:tbl>
    <w:p w:rsidR="0098143E" w:rsidRPr="0098143E" w:rsidRDefault="0098143E" w:rsidP="0098143E">
      <w:pPr>
        <w:autoSpaceDE w:val="0"/>
        <w:autoSpaceDN w:val="0"/>
        <w:adjustRightInd w:val="0"/>
        <w:ind w:firstLine="426"/>
        <w:jc w:val="both"/>
        <w:rPr>
          <w:rFonts w:ascii="Arial" w:hAnsi="Arial" w:cs="Arial"/>
          <w:bCs/>
          <w:i/>
          <w:sz w:val="16"/>
          <w:szCs w:val="16"/>
        </w:rPr>
      </w:pPr>
      <w:r w:rsidRPr="0098143E">
        <w:rPr>
          <w:rFonts w:ascii="Arial" w:hAnsi="Arial" w:cs="Arial"/>
          <w:bCs/>
          <w:i/>
          <w:sz w:val="16"/>
          <w:szCs w:val="16"/>
        </w:rPr>
        <w:t>* Incidente sobre a parte inadimplente.</w:t>
      </w:r>
    </w:p>
    <w:p w:rsidR="0098143E" w:rsidRPr="0098143E" w:rsidRDefault="0098143E" w:rsidP="0098143E">
      <w:pPr>
        <w:autoSpaceDE w:val="0"/>
        <w:autoSpaceDN w:val="0"/>
        <w:adjustRightInd w:val="0"/>
        <w:ind w:firstLine="426"/>
        <w:jc w:val="both"/>
        <w:rPr>
          <w:rFonts w:ascii="Arial" w:hAnsi="Arial" w:cs="Arial"/>
          <w:bCs/>
          <w:i/>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 xml:space="preserve">12. As sanções aqui previstas poderão ser aplicadas concomitantemente, facultada a defesa prévia do interessado, no respectivo processo, no prazo de 05 (cinco) dias úteis.   </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13. Após 30 (trinta) dias da falta de execução do objeto, será considerada inexecução total do contrato, o que ensejará a rescisão contratual.</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 xml:space="preserve">14. As sanções de natureza pecuniária serão diretamente descontadas de créditos que eventualmente detenha a </w:t>
      </w:r>
      <w:r w:rsidRPr="0098143E">
        <w:rPr>
          <w:rFonts w:ascii="Arial" w:hAnsi="Arial" w:cs="Arial"/>
          <w:bCs/>
          <w:sz w:val="16"/>
          <w:szCs w:val="16"/>
        </w:rPr>
        <w:t xml:space="preserve">CONTRATADA </w:t>
      </w:r>
      <w:r w:rsidRPr="0098143E">
        <w:rPr>
          <w:rFonts w:ascii="Arial" w:hAnsi="Arial" w:cs="Arial"/>
          <w:sz w:val="16"/>
          <w:szCs w:val="16"/>
        </w:rPr>
        <w:t>ou efetuada a sua cobrança na forma prevista em lei.</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17. A sanção será obrigatoriamente registrada no Sistema de Cadastramento Unificado de Fornecedores – SICAF, bem como em sistemas Estaduais.</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8143E" w:rsidRPr="0098143E" w:rsidRDefault="0098143E" w:rsidP="0098143E">
      <w:pPr>
        <w:pStyle w:val="SemEspaamento"/>
        <w:tabs>
          <w:tab w:val="left" w:pos="426"/>
        </w:tabs>
        <w:jc w:val="both"/>
        <w:rPr>
          <w:rFonts w:ascii="Arial" w:hAnsi="Arial" w:cs="Arial"/>
          <w:sz w:val="16"/>
          <w:szCs w:val="16"/>
        </w:rPr>
      </w:pPr>
    </w:p>
    <w:p w:rsidR="0098143E" w:rsidRPr="0098143E" w:rsidRDefault="0098143E" w:rsidP="0098143E">
      <w:pPr>
        <w:tabs>
          <w:tab w:val="left" w:pos="851"/>
        </w:tabs>
        <w:ind w:left="567"/>
        <w:jc w:val="both"/>
        <w:rPr>
          <w:rFonts w:ascii="Arial" w:hAnsi="Arial" w:cs="Arial"/>
          <w:sz w:val="16"/>
          <w:szCs w:val="16"/>
        </w:rPr>
      </w:pPr>
      <w:r w:rsidRPr="0098143E">
        <w:rPr>
          <w:rFonts w:ascii="Arial" w:hAnsi="Arial" w:cs="Arial"/>
          <w:sz w:val="16"/>
          <w:szCs w:val="16"/>
        </w:rPr>
        <w:t>a) Tenham sofrido condenações definitivas por praticarem, por meio dolosos, fraude fiscal no recolhimento de tributos;</w:t>
      </w:r>
    </w:p>
    <w:p w:rsidR="0098143E" w:rsidRPr="0098143E" w:rsidRDefault="0098143E" w:rsidP="0098143E">
      <w:pPr>
        <w:tabs>
          <w:tab w:val="left" w:pos="851"/>
        </w:tabs>
        <w:ind w:left="567"/>
        <w:jc w:val="both"/>
        <w:rPr>
          <w:rFonts w:ascii="Arial" w:hAnsi="Arial" w:cs="Arial"/>
          <w:sz w:val="16"/>
          <w:szCs w:val="16"/>
        </w:rPr>
      </w:pPr>
      <w:r w:rsidRPr="0098143E">
        <w:rPr>
          <w:rFonts w:ascii="Arial" w:hAnsi="Arial" w:cs="Arial"/>
          <w:sz w:val="16"/>
          <w:szCs w:val="16"/>
        </w:rPr>
        <w:t xml:space="preserve">b) Tenham praticado atos ilícitos visando a frustrar os objetivos da </w:t>
      </w:r>
      <w:proofErr w:type="gramStart"/>
      <w:r w:rsidRPr="0098143E">
        <w:rPr>
          <w:rFonts w:ascii="Arial" w:hAnsi="Arial" w:cs="Arial"/>
          <w:sz w:val="16"/>
          <w:szCs w:val="16"/>
        </w:rPr>
        <w:t>licitação;</w:t>
      </w:r>
      <w:proofErr w:type="gramEnd"/>
      <w:r w:rsidRPr="0098143E">
        <w:rPr>
          <w:rFonts w:ascii="Arial" w:hAnsi="Arial" w:cs="Arial"/>
          <w:sz w:val="16"/>
          <w:szCs w:val="16"/>
        </w:rPr>
        <w:t>c) Demonstrem não possuir idoneidade para contratar com a Administração em virtude de atos ilícitos praticados;</w:t>
      </w:r>
    </w:p>
    <w:p w:rsidR="0098143E" w:rsidRPr="0098143E" w:rsidRDefault="0098143E" w:rsidP="0098143E">
      <w:pPr>
        <w:pStyle w:val="Recuodecorpodetexto"/>
        <w:tabs>
          <w:tab w:val="left" w:pos="851"/>
        </w:tabs>
        <w:autoSpaceDE w:val="0"/>
        <w:autoSpaceDN w:val="0"/>
        <w:adjustRightInd w:val="0"/>
        <w:ind w:left="567"/>
        <w:jc w:val="both"/>
        <w:rPr>
          <w:rFonts w:ascii="Arial" w:hAnsi="Arial" w:cs="Arial"/>
          <w:sz w:val="16"/>
          <w:szCs w:val="16"/>
          <w:lang w:val="pt-BR"/>
        </w:rPr>
      </w:pPr>
      <w:r w:rsidRPr="0098143E">
        <w:rPr>
          <w:rFonts w:ascii="Arial" w:hAnsi="Arial" w:cs="Arial"/>
          <w:sz w:val="16"/>
          <w:szCs w:val="16"/>
          <w:lang w:val="pt-BR"/>
        </w:rPr>
        <w:t>c) Demonstrem não possuir idoneidade para contratar com a Administração em virtude de atos ilícitos praticados.</w:t>
      </w:r>
    </w:p>
    <w:p w:rsidR="0098143E" w:rsidRPr="0098143E" w:rsidRDefault="0098143E" w:rsidP="0098143E">
      <w:pPr>
        <w:tabs>
          <w:tab w:val="left" w:pos="0"/>
          <w:tab w:val="left" w:pos="567"/>
          <w:tab w:val="left" w:pos="851"/>
        </w:tabs>
        <w:jc w:val="both"/>
        <w:rPr>
          <w:rFonts w:ascii="Arial" w:hAnsi="Arial" w:cs="Arial"/>
          <w:sz w:val="16"/>
          <w:szCs w:val="16"/>
        </w:rPr>
      </w:pPr>
    </w:p>
    <w:p w:rsidR="0098143E" w:rsidRPr="0098143E" w:rsidRDefault="0098143E" w:rsidP="0098143E">
      <w:pPr>
        <w:tabs>
          <w:tab w:val="left" w:pos="0"/>
        </w:tabs>
        <w:jc w:val="both"/>
        <w:rPr>
          <w:rFonts w:ascii="Arial" w:hAnsi="Arial" w:cs="Arial"/>
          <w:sz w:val="16"/>
          <w:szCs w:val="16"/>
        </w:rPr>
      </w:pPr>
      <w:r>
        <w:rPr>
          <w:rFonts w:ascii="Arial" w:hAnsi="Arial" w:cs="Arial"/>
          <w:bCs/>
          <w:sz w:val="16"/>
          <w:szCs w:val="16"/>
        </w:rPr>
        <w:t>9.</w:t>
      </w:r>
      <w:r w:rsidRPr="0098143E">
        <w:rPr>
          <w:rFonts w:ascii="Arial" w:hAnsi="Arial" w:cs="Arial"/>
          <w:bCs/>
          <w:sz w:val="16"/>
          <w:szCs w:val="16"/>
        </w:rPr>
        <w:t>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98143E" w:rsidRPr="0098143E" w:rsidRDefault="0098143E" w:rsidP="0098143E">
      <w:pPr>
        <w:tabs>
          <w:tab w:val="left" w:pos="0"/>
        </w:tabs>
        <w:jc w:val="both"/>
        <w:rPr>
          <w:rFonts w:ascii="Arial" w:hAnsi="Arial" w:cs="Arial"/>
          <w:sz w:val="16"/>
          <w:szCs w:val="16"/>
        </w:rPr>
      </w:pPr>
    </w:p>
    <w:p w:rsidR="0098143E" w:rsidRPr="0098143E" w:rsidRDefault="0098143E" w:rsidP="0098143E">
      <w:pPr>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 xml:space="preserve">20. Na hipótese de apresentar documentação inverossímil ou de cometer fraude, o licitante poderá sofrer sem prejuízo da </w:t>
      </w:r>
      <w:r w:rsidRPr="0098143E">
        <w:rPr>
          <w:rFonts w:ascii="Arial" w:hAnsi="Arial" w:cs="Arial"/>
          <w:bCs/>
          <w:sz w:val="16"/>
          <w:szCs w:val="16"/>
        </w:rPr>
        <w:t>comunicação do ocorrido ao Ministério Público</w:t>
      </w:r>
      <w:r w:rsidRPr="0098143E">
        <w:rPr>
          <w:rFonts w:ascii="Arial" w:hAnsi="Arial" w:cs="Arial"/>
          <w:sz w:val="16"/>
          <w:szCs w:val="16"/>
        </w:rPr>
        <w:t>, quaisquer das sanções previstas, que poderão ser aplicadas cumulativamente.</w:t>
      </w:r>
    </w:p>
    <w:p w:rsidR="0098143E" w:rsidRPr="0098143E" w:rsidRDefault="0098143E" w:rsidP="0098143E">
      <w:pPr>
        <w:tabs>
          <w:tab w:val="left" w:pos="0"/>
        </w:tabs>
        <w:jc w:val="both"/>
        <w:rPr>
          <w:rFonts w:ascii="Arial" w:hAnsi="Arial" w:cs="Arial"/>
          <w:sz w:val="16"/>
          <w:szCs w:val="16"/>
        </w:rPr>
      </w:pPr>
    </w:p>
    <w:p w:rsidR="0098143E" w:rsidRPr="0098143E" w:rsidRDefault="0098143E" w:rsidP="0098143E">
      <w:pPr>
        <w:tabs>
          <w:tab w:val="left" w:pos="0"/>
        </w:tabs>
        <w:jc w:val="both"/>
        <w:rPr>
          <w:rFonts w:ascii="Arial" w:hAnsi="Arial" w:cs="Arial"/>
          <w:sz w:val="16"/>
          <w:szCs w:val="16"/>
        </w:rPr>
      </w:pPr>
      <w:r>
        <w:rPr>
          <w:rFonts w:ascii="Arial" w:hAnsi="Arial" w:cs="Arial"/>
          <w:bCs/>
          <w:sz w:val="16"/>
          <w:szCs w:val="16"/>
        </w:rPr>
        <w:t>9.</w:t>
      </w:r>
      <w:r w:rsidRPr="0098143E">
        <w:rPr>
          <w:rFonts w:ascii="Arial" w:hAnsi="Arial" w:cs="Arial"/>
          <w:bCs/>
          <w:sz w:val="16"/>
          <w:szCs w:val="16"/>
        </w:rPr>
        <w:t>21. Nenhuma sanção será aplicada sem o devido processo administrativo, que prevê defesa prévia do interessado e recurso nos prazos definidos em Lei, sendo-lhe franqueada vista ao processo.</w:t>
      </w:r>
    </w:p>
    <w:p w:rsidR="00A07D07" w:rsidRPr="0098143E" w:rsidRDefault="00A07D07" w:rsidP="00E13289">
      <w:pPr>
        <w:jc w:val="both"/>
        <w:rPr>
          <w:rFonts w:ascii="Arial" w:hAnsi="Arial" w:cs="Arial"/>
          <w:b/>
          <w:sz w:val="16"/>
          <w:szCs w:val="16"/>
        </w:rPr>
      </w:pPr>
    </w:p>
    <w:p w:rsidR="00A07D07" w:rsidRDefault="00A07D07" w:rsidP="00E13289">
      <w:pPr>
        <w:jc w:val="both"/>
        <w:rPr>
          <w:rFonts w:ascii="Arial" w:hAnsi="Arial" w:cs="Arial"/>
          <w:b/>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2B132C" w:rsidRDefault="002B132C" w:rsidP="009D2314">
      <w:pPr>
        <w:tabs>
          <w:tab w:val="left" w:pos="1134"/>
        </w:tabs>
        <w:jc w:val="both"/>
        <w:rPr>
          <w:rFonts w:ascii="Arial" w:hAnsi="Arial" w:cs="Arial"/>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2B132C" w:rsidRDefault="002B132C"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Pr="002B132C" w:rsidRDefault="00DE5A13" w:rsidP="002C214A">
      <w:pPr>
        <w:pStyle w:val="Corpodetexto3"/>
        <w:tabs>
          <w:tab w:val="left" w:pos="900"/>
        </w:tabs>
        <w:ind w:left="426" w:right="47" w:hanging="426"/>
        <w:rPr>
          <w:rFonts w:ascii="Arial" w:hAnsi="Arial" w:cs="Arial"/>
          <w:sz w:val="16"/>
          <w:szCs w:val="16"/>
        </w:rPr>
      </w:pP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SEDUC</w:t>
      </w:r>
      <w:r w:rsidRPr="002B132C">
        <w:rPr>
          <w:rFonts w:ascii="Arial" w:hAnsi="Arial" w:cs="Arial"/>
          <w:sz w:val="16"/>
          <w:szCs w:val="16"/>
        </w:rPr>
        <w:t xml:space="preserve"> - Secretaria de Estado da Educação.</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SEAS</w:t>
      </w:r>
      <w:r w:rsidRPr="002B132C">
        <w:rPr>
          <w:rFonts w:ascii="Arial" w:hAnsi="Arial" w:cs="Arial"/>
          <w:sz w:val="16"/>
          <w:szCs w:val="16"/>
        </w:rPr>
        <w:t xml:space="preserve"> – Secretaria de Estado de Assistência e Desenvolvimento Social.</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SEFIN</w:t>
      </w:r>
      <w:r w:rsidRPr="002B132C">
        <w:rPr>
          <w:rFonts w:ascii="Arial" w:hAnsi="Arial" w:cs="Arial"/>
          <w:sz w:val="16"/>
          <w:szCs w:val="16"/>
        </w:rPr>
        <w:t xml:space="preserve"> - Secretaria de Estado de Finanças.</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lastRenderedPageBreak/>
        <w:t>SEDAM</w:t>
      </w:r>
      <w:r w:rsidRPr="002B132C">
        <w:rPr>
          <w:rFonts w:ascii="Arial" w:hAnsi="Arial" w:cs="Arial"/>
          <w:sz w:val="16"/>
          <w:szCs w:val="16"/>
        </w:rPr>
        <w:t xml:space="preserve"> - Secretaria de Estado do Meio Ambiente.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SESAU</w:t>
      </w:r>
      <w:r w:rsidRPr="002B132C">
        <w:rPr>
          <w:rFonts w:ascii="Arial" w:hAnsi="Arial" w:cs="Arial"/>
          <w:sz w:val="16"/>
          <w:szCs w:val="16"/>
        </w:rPr>
        <w:t xml:space="preserve"> - Secretaria de Estado da Saúde.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CGE</w:t>
      </w:r>
      <w:r w:rsidRPr="002B132C">
        <w:rPr>
          <w:rFonts w:ascii="Arial" w:hAnsi="Arial" w:cs="Arial"/>
          <w:sz w:val="16"/>
          <w:szCs w:val="16"/>
        </w:rPr>
        <w:t xml:space="preserve"> – Controladoria Geral do Estado.</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PGE</w:t>
      </w:r>
      <w:r w:rsidRPr="002B132C">
        <w:rPr>
          <w:rFonts w:ascii="Arial" w:hAnsi="Arial" w:cs="Arial"/>
          <w:sz w:val="16"/>
          <w:szCs w:val="16"/>
        </w:rPr>
        <w:t xml:space="preserve"> - Procuradoria Geral do Estado.</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IDARON</w:t>
      </w:r>
      <w:r w:rsidRPr="002B132C">
        <w:rPr>
          <w:rFonts w:ascii="Arial" w:hAnsi="Arial" w:cs="Arial"/>
          <w:sz w:val="16"/>
          <w:szCs w:val="16"/>
        </w:rPr>
        <w:t xml:space="preserve"> - Agência de Defesa Sanitária </w:t>
      </w:r>
      <w:proofErr w:type="spellStart"/>
      <w:r w:rsidRPr="002B132C">
        <w:rPr>
          <w:rFonts w:ascii="Arial" w:hAnsi="Arial" w:cs="Arial"/>
          <w:sz w:val="16"/>
          <w:szCs w:val="16"/>
        </w:rPr>
        <w:t>Agrosilvopastoril</w:t>
      </w:r>
      <w:proofErr w:type="spellEnd"/>
      <w:r w:rsidRPr="002B132C">
        <w:rPr>
          <w:rFonts w:ascii="Arial" w:hAnsi="Arial" w:cs="Arial"/>
          <w:sz w:val="16"/>
          <w:szCs w:val="16"/>
        </w:rPr>
        <w:t xml:space="preserve"> do Estado de Rondônia.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DER</w:t>
      </w:r>
      <w:r w:rsidRPr="002B132C">
        <w:rPr>
          <w:rFonts w:ascii="Arial" w:hAnsi="Arial" w:cs="Arial"/>
          <w:sz w:val="16"/>
          <w:szCs w:val="16"/>
        </w:rPr>
        <w:t xml:space="preserve"> - Departamento de Estradas, Rodagens, Infraestrutura e Serviços Públicos.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AGEVISA</w:t>
      </w:r>
      <w:r w:rsidRPr="002B132C">
        <w:rPr>
          <w:rFonts w:ascii="Arial" w:hAnsi="Arial" w:cs="Arial"/>
          <w:sz w:val="16"/>
          <w:szCs w:val="16"/>
        </w:rPr>
        <w:t xml:space="preserve"> - Agência Estadual de Vigilância em Saúde.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SEJUCEL</w:t>
      </w:r>
      <w:r w:rsidRPr="002B132C">
        <w:rPr>
          <w:rFonts w:ascii="Arial" w:hAnsi="Arial" w:cs="Arial"/>
          <w:sz w:val="16"/>
          <w:szCs w:val="16"/>
        </w:rPr>
        <w:t xml:space="preserve"> - Superintendência da Juventude, Cultura, Esporte e Lazer.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SEPAZ</w:t>
      </w:r>
      <w:r w:rsidRPr="002B132C">
        <w:rPr>
          <w:rFonts w:ascii="Arial" w:hAnsi="Arial" w:cs="Arial"/>
          <w:sz w:val="16"/>
          <w:szCs w:val="16"/>
        </w:rPr>
        <w:t xml:space="preserve"> - Superintendência de Estado de Política sobre Drogas.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SEGEP</w:t>
      </w:r>
      <w:r w:rsidRPr="002B132C">
        <w:rPr>
          <w:rFonts w:ascii="Arial" w:hAnsi="Arial" w:cs="Arial"/>
          <w:sz w:val="16"/>
          <w:szCs w:val="16"/>
        </w:rPr>
        <w:t xml:space="preserve"> - Superintendência Estadual de Gestão de Pessoas.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SETUR</w:t>
      </w:r>
      <w:r w:rsidRPr="002B132C">
        <w:rPr>
          <w:rFonts w:ascii="Arial" w:hAnsi="Arial" w:cs="Arial"/>
          <w:sz w:val="16"/>
          <w:szCs w:val="16"/>
        </w:rPr>
        <w:t xml:space="preserve"> - Superintendência Estadual de Turismo.</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SUPEL</w:t>
      </w:r>
      <w:r w:rsidRPr="002B132C">
        <w:rPr>
          <w:rFonts w:ascii="Arial" w:hAnsi="Arial" w:cs="Arial"/>
          <w:sz w:val="16"/>
          <w:szCs w:val="16"/>
        </w:rPr>
        <w:t xml:space="preserve"> – Superintendência Estadual de Licitação.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FITHA</w:t>
      </w:r>
      <w:r w:rsidRPr="002B132C">
        <w:rPr>
          <w:rFonts w:ascii="Arial" w:hAnsi="Arial" w:cs="Arial"/>
          <w:sz w:val="16"/>
          <w:szCs w:val="16"/>
        </w:rPr>
        <w:t xml:space="preserve"> – Fundo para </w:t>
      </w:r>
      <w:proofErr w:type="spellStart"/>
      <w:r w:rsidRPr="002B132C">
        <w:rPr>
          <w:rFonts w:ascii="Arial" w:hAnsi="Arial" w:cs="Arial"/>
          <w:sz w:val="16"/>
          <w:szCs w:val="16"/>
        </w:rPr>
        <w:t>Infra-Estrutura</w:t>
      </w:r>
      <w:proofErr w:type="spellEnd"/>
      <w:r w:rsidRPr="002B132C">
        <w:rPr>
          <w:rFonts w:ascii="Arial" w:hAnsi="Arial" w:cs="Arial"/>
          <w:sz w:val="16"/>
          <w:szCs w:val="16"/>
        </w:rPr>
        <w:t xml:space="preserve"> de Transportes e Habitação.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SEJUS</w:t>
      </w:r>
      <w:r w:rsidRPr="002B132C">
        <w:rPr>
          <w:rFonts w:ascii="Arial" w:hAnsi="Arial" w:cs="Arial"/>
          <w:sz w:val="16"/>
          <w:szCs w:val="16"/>
        </w:rPr>
        <w:t xml:space="preserve"> – Secretaria de Estado de Justiça.</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SEPOG</w:t>
      </w:r>
      <w:r w:rsidRPr="002B132C">
        <w:rPr>
          <w:rFonts w:ascii="Arial" w:hAnsi="Arial" w:cs="Arial"/>
          <w:sz w:val="16"/>
          <w:szCs w:val="16"/>
        </w:rPr>
        <w:t xml:space="preserve"> – Secretaria de Estado de Planejamento, Orçamento e Gestão.</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PC</w:t>
      </w:r>
      <w:r w:rsidRPr="002B132C">
        <w:rPr>
          <w:rFonts w:ascii="Arial" w:hAnsi="Arial" w:cs="Arial"/>
          <w:sz w:val="16"/>
          <w:szCs w:val="16"/>
        </w:rPr>
        <w:t xml:space="preserve"> – Policia Civil.</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 xml:space="preserve">PM </w:t>
      </w:r>
      <w:r w:rsidRPr="002B132C">
        <w:rPr>
          <w:rFonts w:ascii="Arial" w:hAnsi="Arial" w:cs="Arial"/>
          <w:sz w:val="16"/>
          <w:szCs w:val="16"/>
        </w:rPr>
        <w:t>– Policia Militar.</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FHEMERON</w:t>
      </w:r>
      <w:r w:rsidRPr="002B132C">
        <w:rPr>
          <w:rFonts w:ascii="Arial" w:hAnsi="Arial" w:cs="Arial"/>
          <w:sz w:val="16"/>
          <w:szCs w:val="16"/>
        </w:rPr>
        <w:t xml:space="preserve"> - Fundação de Hematologia e Hemoterapia de Rondônia.</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SESDEC</w:t>
      </w:r>
      <w:r w:rsidRPr="002B132C">
        <w:rPr>
          <w:rFonts w:ascii="Arial" w:hAnsi="Arial" w:cs="Arial"/>
          <w:sz w:val="16"/>
          <w:szCs w:val="16"/>
        </w:rPr>
        <w:t xml:space="preserve"> – Secretaria de Estado de Segurança, Defesa e Cidadania. </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SUGESP</w:t>
      </w:r>
      <w:r w:rsidRPr="002B132C">
        <w:rPr>
          <w:rFonts w:ascii="Arial" w:hAnsi="Arial" w:cs="Arial"/>
          <w:sz w:val="16"/>
          <w:szCs w:val="16"/>
        </w:rPr>
        <w:t xml:space="preserve"> Superintendência de Gestão dos Gastos Administrativo.</w:t>
      </w:r>
    </w:p>
    <w:p w:rsidR="002B132C" w:rsidRPr="002B132C" w:rsidRDefault="002B132C" w:rsidP="002B132C">
      <w:pPr>
        <w:spacing w:after="240"/>
        <w:jc w:val="both"/>
        <w:rPr>
          <w:rFonts w:ascii="Arial" w:hAnsi="Arial" w:cs="Arial"/>
          <w:sz w:val="16"/>
          <w:szCs w:val="16"/>
        </w:rPr>
      </w:pPr>
      <w:r w:rsidRPr="002B132C">
        <w:rPr>
          <w:rFonts w:ascii="Arial" w:hAnsi="Arial" w:cs="Arial"/>
          <w:b/>
          <w:sz w:val="16"/>
          <w:szCs w:val="16"/>
        </w:rPr>
        <w:t>SEAGRI</w:t>
      </w:r>
      <w:r w:rsidRPr="002B132C">
        <w:rPr>
          <w:rFonts w:ascii="Arial" w:hAnsi="Arial" w:cs="Arial"/>
          <w:sz w:val="16"/>
          <w:szCs w:val="16"/>
        </w:rPr>
        <w:t xml:space="preserve"> - Secretaria de Estado da Agricultura, Pecuária, Desenvolvimento e Regularização Fundiária. </w:t>
      </w:r>
    </w:p>
    <w:p w:rsidR="005269EC" w:rsidRPr="002B132C" w:rsidRDefault="005269EC" w:rsidP="001D515A">
      <w:pPr>
        <w:rPr>
          <w:rFonts w:ascii="Arial" w:hAnsi="Arial" w:cs="Arial"/>
          <w:sz w:val="16"/>
          <w:szCs w:val="16"/>
        </w:rPr>
      </w:pPr>
    </w:p>
    <w:p w:rsidR="009D2314" w:rsidRPr="002B132C" w:rsidRDefault="008353D1" w:rsidP="009D2314">
      <w:pPr>
        <w:jc w:val="both"/>
        <w:rPr>
          <w:rFonts w:ascii="Arial" w:hAnsi="Arial" w:cs="Arial"/>
          <w:b/>
          <w:bCs/>
          <w:color w:val="000000"/>
          <w:sz w:val="16"/>
          <w:szCs w:val="16"/>
        </w:rPr>
      </w:pPr>
      <w:r w:rsidRPr="002B132C">
        <w:rPr>
          <w:rFonts w:ascii="Arial" w:hAnsi="Arial" w:cs="Arial"/>
          <w:b/>
          <w:bCs/>
          <w:color w:val="000000"/>
          <w:sz w:val="16"/>
          <w:szCs w:val="16"/>
        </w:rPr>
        <w:t>1</w:t>
      </w:r>
      <w:r w:rsidR="00EF1FC6" w:rsidRPr="002B132C">
        <w:rPr>
          <w:rFonts w:ascii="Arial" w:hAnsi="Arial" w:cs="Arial"/>
          <w:b/>
          <w:bCs/>
          <w:color w:val="000000"/>
          <w:sz w:val="16"/>
          <w:szCs w:val="16"/>
        </w:rPr>
        <w:t>5</w:t>
      </w:r>
      <w:r w:rsidR="009D2314" w:rsidRPr="002B132C">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A41308" w:rsidRDefault="00A41308" w:rsidP="00526790">
      <w:pPr>
        <w:ind w:right="47"/>
        <w:jc w:val="both"/>
        <w:rPr>
          <w:rFonts w:ascii="Arial" w:hAnsi="Arial" w:cs="Arial"/>
          <w:b/>
          <w:bCs/>
          <w:color w:val="000000"/>
          <w:sz w:val="16"/>
          <w:szCs w:val="16"/>
        </w:rPr>
      </w:pPr>
    </w:p>
    <w:p w:rsidR="00C50BF7" w:rsidRPr="00EA06CB" w:rsidRDefault="0065147A" w:rsidP="00526790">
      <w:pPr>
        <w:ind w:right="47"/>
        <w:jc w:val="both"/>
        <w:rPr>
          <w:rFonts w:ascii="Arial" w:hAnsi="Arial" w:cs="Arial"/>
          <w:b/>
          <w:bCs/>
          <w:color w:val="000000"/>
          <w:sz w:val="8"/>
          <w:szCs w:val="8"/>
        </w:rPr>
      </w:pPr>
      <w:r>
        <w:rPr>
          <w:rFonts w:ascii="Arial" w:hAnsi="Arial" w:cs="Arial"/>
          <w:b/>
          <w:bCs/>
          <w:color w:val="000000"/>
          <w:sz w:val="8"/>
          <w:szCs w:val="8"/>
        </w:rPr>
        <w:t>CMV</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FC6" w:rsidRDefault="00EF1FC6">
      <w:r>
        <w:separator/>
      </w:r>
    </w:p>
  </w:endnote>
  <w:endnote w:type="continuationSeparator" w:id="0">
    <w:p w:rsidR="00EF1FC6" w:rsidRDefault="00EF1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FC6" w:rsidRDefault="00EF1FC6">
      <w:r>
        <w:separator/>
      </w:r>
    </w:p>
  </w:footnote>
  <w:footnote w:type="continuationSeparator" w:id="0">
    <w:p w:rsidR="00EF1FC6" w:rsidRDefault="00EF1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C6" w:rsidRDefault="00EF1FC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16"/>
  </w:num>
  <w:num w:numId="3">
    <w:abstractNumId w:val="5"/>
  </w:num>
  <w:num w:numId="4">
    <w:abstractNumId w:val="4"/>
  </w:num>
  <w:num w:numId="5">
    <w:abstractNumId w:val="20"/>
  </w:num>
  <w:num w:numId="6">
    <w:abstractNumId w:val="18"/>
  </w:num>
  <w:num w:numId="7">
    <w:abstractNumId w:val="29"/>
  </w:num>
  <w:num w:numId="8">
    <w:abstractNumId w:val="14"/>
  </w:num>
  <w:num w:numId="9">
    <w:abstractNumId w:val="15"/>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4"/>
  </w:num>
  <w:num w:numId="14">
    <w:abstractNumId w:val="31"/>
  </w:num>
  <w:num w:numId="15">
    <w:abstractNumId w:val="1"/>
  </w:num>
  <w:num w:numId="16">
    <w:abstractNumId w:val="2"/>
  </w:num>
  <w:num w:numId="17">
    <w:abstractNumId w:val="11"/>
  </w:num>
  <w:num w:numId="18">
    <w:abstractNumId w:val="9"/>
  </w:num>
  <w:num w:numId="19">
    <w:abstractNumId w:val="22"/>
  </w:num>
  <w:num w:numId="20">
    <w:abstractNumId w:val="6"/>
  </w:num>
  <w:num w:numId="21">
    <w:abstractNumId w:val="8"/>
  </w:num>
  <w:num w:numId="22">
    <w:abstractNumId w:val="17"/>
  </w:num>
  <w:num w:numId="23">
    <w:abstractNumId w:val="21"/>
  </w:num>
  <w:num w:numId="24">
    <w:abstractNumId w:val="28"/>
  </w:num>
  <w:num w:numId="25">
    <w:abstractNumId w:val="32"/>
  </w:num>
  <w:num w:numId="26">
    <w:abstractNumId w:val="13"/>
  </w:num>
  <w:num w:numId="27">
    <w:abstractNumId w:val="12"/>
  </w:num>
  <w:num w:numId="28">
    <w:abstractNumId w:val="26"/>
  </w:num>
  <w:num w:numId="29">
    <w:abstractNumId w:val="27"/>
  </w:num>
  <w:num w:numId="30">
    <w:abstractNumId w:val="10"/>
  </w:num>
  <w:num w:numId="31">
    <w:abstractNumId w:val="19"/>
  </w:num>
  <w:num w:numId="32">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2101"/>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4C49"/>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350"/>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32C"/>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8C9"/>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150E"/>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143E"/>
    <w:rsid w:val="009843D3"/>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rsid w:val="00A07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CCFD79-55B9-42EE-8A54-72246CEBE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3451</Words>
  <Characters>19517</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2017-01-20T15:24:00Z</cp:lastPrinted>
  <dcterms:created xsi:type="dcterms:W3CDTF">2017-01-23T12:25:00Z</dcterms:created>
  <dcterms:modified xsi:type="dcterms:W3CDTF">2017-06-05T12:50:00Z</dcterms:modified>
</cp:coreProperties>
</file>