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11</w:t>
      </w:r>
      <w:r w:rsidR="001148F3">
        <w:rPr>
          <w:rFonts w:ascii="Arial" w:hAnsi="Arial" w:cs="Arial"/>
          <w:b/>
          <w:sz w:val="16"/>
          <w:szCs w:val="16"/>
        </w:rPr>
        <w:t>7</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1148F3">
        <w:rPr>
          <w:rFonts w:ascii="Arial" w:hAnsi="Arial" w:cs="Arial"/>
          <w:b/>
          <w:bCs/>
          <w:sz w:val="16"/>
          <w:szCs w:val="16"/>
        </w:rPr>
        <w:t>069</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w:t>
      </w:r>
      <w:r w:rsidR="001148F3">
        <w:rPr>
          <w:rFonts w:ascii="Arial" w:hAnsi="Arial" w:cs="Arial"/>
          <w:b/>
          <w:bCs/>
          <w:sz w:val="16"/>
          <w:szCs w:val="16"/>
        </w:rPr>
        <w:t>1514.00001-00/2017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proofErr w:type="gramStart"/>
      <w:r w:rsidR="00C2288B" w:rsidRPr="00C2288B">
        <w:rPr>
          <w:rFonts w:ascii="Arial" w:hAnsi="Arial" w:cs="Arial"/>
          <w:sz w:val="16"/>
          <w:szCs w:val="16"/>
        </w:rPr>
        <w:t xml:space="preserve">futuras e eventuais </w:t>
      </w:r>
      <w:r w:rsidR="001148F3" w:rsidRPr="001148F3">
        <w:rPr>
          <w:rFonts w:ascii="Arial" w:hAnsi="Arial" w:cs="Arial"/>
          <w:sz w:val="16"/>
          <w:szCs w:val="16"/>
        </w:rPr>
        <w:t>contratação</w:t>
      </w:r>
      <w:proofErr w:type="gramEnd"/>
      <w:r w:rsidR="001148F3" w:rsidRPr="001148F3">
        <w:rPr>
          <w:rFonts w:ascii="Arial" w:hAnsi="Arial" w:cs="Arial"/>
          <w:sz w:val="16"/>
          <w:szCs w:val="16"/>
        </w:rPr>
        <w:t xml:space="preserve"> de serviços de fornecimento de Alimentação</w:t>
      </w:r>
      <w:r w:rsidR="001148F3" w:rsidRPr="001148F3">
        <w:rPr>
          <w:rFonts w:ascii="Arial" w:hAnsi="Arial" w:cs="Arial"/>
          <w:bCs/>
          <w:sz w:val="16"/>
          <w:szCs w:val="16"/>
        </w:rPr>
        <w:t xml:space="preserve"> (</w:t>
      </w:r>
      <w:r w:rsidR="001148F3" w:rsidRPr="001148F3">
        <w:rPr>
          <w:rFonts w:ascii="Arial" w:hAnsi="Arial" w:cs="Arial"/>
          <w:b/>
          <w:sz w:val="16"/>
          <w:szCs w:val="16"/>
        </w:rPr>
        <w:t>ALMOÇO, JANTAR, CAFÉ DA MANHÃ, COFFE-BREAK e LANCHES)</w:t>
      </w:r>
      <w:r w:rsidR="001148F3" w:rsidRPr="001148F3">
        <w:rPr>
          <w:rFonts w:ascii="Arial" w:hAnsi="Arial" w:cs="Arial"/>
          <w:sz w:val="16"/>
          <w:szCs w:val="16"/>
        </w:rPr>
        <w:t xml:space="preserve">, por um período de 12 (doze) meses, </w:t>
      </w:r>
      <w:r w:rsidR="001148F3" w:rsidRPr="001148F3">
        <w:rPr>
          <w:rFonts w:ascii="Arial" w:hAnsi="Arial" w:cs="Arial"/>
          <w:bCs/>
          <w:sz w:val="16"/>
          <w:szCs w:val="16"/>
        </w:rPr>
        <w:t>para atender as necessidades do Corpo de Bombeiros Militar do Estado de Rondônia</w:t>
      </w:r>
      <w:r w:rsidR="00DF042C" w:rsidRPr="00E759E2">
        <w:rPr>
          <w:rFonts w:ascii="Arial" w:hAnsi="Arial" w:cs="Arial"/>
          <w:sz w:val="16"/>
          <w:szCs w:val="16"/>
        </w:rPr>
        <w:t xml:space="preserve">,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proofErr w:type="gramStart"/>
      <w:r w:rsidR="00C2288B" w:rsidRPr="00C2288B">
        <w:rPr>
          <w:rFonts w:ascii="Arial" w:hAnsi="Arial" w:cs="Arial"/>
          <w:sz w:val="16"/>
          <w:szCs w:val="16"/>
        </w:rPr>
        <w:t xml:space="preserve">futuras e eventuais </w:t>
      </w:r>
      <w:r w:rsidR="001148F3" w:rsidRPr="001148F3">
        <w:rPr>
          <w:rFonts w:ascii="Arial" w:hAnsi="Arial" w:cs="Arial"/>
          <w:sz w:val="16"/>
          <w:szCs w:val="16"/>
        </w:rPr>
        <w:t>contratação</w:t>
      </w:r>
      <w:proofErr w:type="gramEnd"/>
      <w:r w:rsidR="001148F3" w:rsidRPr="001148F3">
        <w:rPr>
          <w:rFonts w:ascii="Arial" w:hAnsi="Arial" w:cs="Arial"/>
          <w:sz w:val="16"/>
          <w:szCs w:val="16"/>
        </w:rPr>
        <w:t xml:space="preserve"> de serviços de fornecimento de Alimentação</w:t>
      </w:r>
      <w:r w:rsidR="001148F3" w:rsidRPr="001148F3">
        <w:rPr>
          <w:rFonts w:ascii="Arial" w:hAnsi="Arial" w:cs="Arial"/>
          <w:bCs/>
          <w:sz w:val="16"/>
          <w:szCs w:val="16"/>
        </w:rPr>
        <w:t xml:space="preserve"> (</w:t>
      </w:r>
      <w:r w:rsidR="001148F3" w:rsidRPr="001148F3">
        <w:rPr>
          <w:rFonts w:ascii="Arial" w:hAnsi="Arial" w:cs="Arial"/>
          <w:b/>
          <w:sz w:val="16"/>
          <w:szCs w:val="16"/>
        </w:rPr>
        <w:t>ALMOÇO, JANTAR, CAFÉ DA MANHÃ, COFFE-BREAK e LANCHES)</w:t>
      </w:r>
      <w:r w:rsidR="001148F3" w:rsidRPr="001148F3">
        <w:rPr>
          <w:rFonts w:ascii="Arial" w:hAnsi="Arial" w:cs="Arial"/>
          <w:sz w:val="16"/>
          <w:szCs w:val="16"/>
        </w:rPr>
        <w:t xml:space="preserve">, </w:t>
      </w:r>
      <w:r w:rsidR="001148F3" w:rsidRPr="001148F3">
        <w:rPr>
          <w:rFonts w:ascii="Arial" w:hAnsi="Arial" w:cs="Arial"/>
          <w:bCs/>
          <w:sz w:val="16"/>
          <w:szCs w:val="16"/>
        </w:rPr>
        <w:t>para atender as necessidades do Corpo de Bombeiros Militar do Estado de Rondônia</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w:t>
      </w:r>
      <w:proofErr w:type="gramStart"/>
      <w:r w:rsidR="008F73CB" w:rsidRPr="009A54D1">
        <w:rPr>
          <w:sz w:val="16"/>
          <w:szCs w:val="16"/>
        </w:rPr>
        <w:t>do</w:t>
      </w:r>
      <w:proofErr w:type="gramEnd"/>
      <w:r w:rsidR="008F73CB" w:rsidRPr="009A54D1">
        <w:rPr>
          <w:sz w:val="16"/>
          <w:szCs w:val="16"/>
        </w:rPr>
        <w:t xml:space="preserve"> </w:t>
      </w:r>
      <w:proofErr w:type="gramStart"/>
      <w:r w:rsidR="008F73CB" w:rsidRPr="009A54D1">
        <w:rPr>
          <w:sz w:val="16"/>
          <w:szCs w:val="16"/>
        </w:rPr>
        <w:t>ordenador</w:t>
      </w:r>
      <w:proofErr w:type="gramEnd"/>
      <w:r w:rsidR="008F73CB" w:rsidRPr="009A54D1">
        <w:rPr>
          <w:sz w:val="16"/>
          <w:szCs w:val="16"/>
        </w:rPr>
        <w:t xml:space="preserve">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E759E2" w:rsidRPr="004151FF">
        <w:rPr>
          <w:rFonts w:ascii="Arial" w:hAnsi="Arial" w:cs="Arial"/>
          <w:b/>
          <w:sz w:val="16"/>
          <w:szCs w:val="16"/>
        </w:rPr>
        <w:t xml:space="preserve">DO </w:t>
      </w:r>
      <w:r w:rsidR="00E759E2" w:rsidRPr="004151FF">
        <w:rPr>
          <w:rFonts w:ascii="Arial" w:hAnsi="Arial" w:cs="Arial"/>
          <w:b/>
          <w:bCs/>
          <w:sz w:val="16"/>
          <w:szCs w:val="16"/>
        </w:rPr>
        <w:t>PRAZO, FORMA E LOCAL DE ENTREGA/</w:t>
      </w:r>
      <w:proofErr w:type="gramStart"/>
      <w:r w:rsidR="00E759E2" w:rsidRPr="004151FF">
        <w:rPr>
          <w:rFonts w:ascii="Arial" w:hAnsi="Arial" w:cs="Arial"/>
          <w:b/>
          <w:bCs/>
          <w:sz w:val="16"/>
          <w:szCs w:val="16"/>
        </w:rPr>
        <w:t>HORÁRIO</w:t>
      </w:r>
      <w:proofErr w:type="gramEnd"/>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 xml:space="preserve">Expedida a Nota de Empenho, o recebimento de seu objeto ficará condicionado </w:t>
      </w:r>
      <w:proofErr w:type="gramStart"/>
      <w:r w:rsidRPr="004151FF">
        <w:rPr>
          <w:rFonts w:ascii="Arial" w:hAnsi="Arial" w:cs="Arial"/>
          <w:sz w:val="16"/>
          <w:szCs w:val="16"/>
        </w:rPr>
        <w:t>a</w:t>
      </w:r>
      <w:proofErr w:type="gramEnd"/>
      <w:r w:rsidRPr="004151FF">
        <w:rPr>
          <w:rFonts w:ascii="Arial" w:hAnsi="Arial" w:cs="Arial"/>
          <w:sz w:val="16"/>
          <w:szCs w:val="16"/>
        </w:rPr>
        <w:t xml:space="preserve">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7D7067" w:rsidRPr="00BB44D1" w:rsidRDefault="00C2288B" w:rsidP="007D7067">
      <w:pPr>
        <w:pStyle w:val="PargrafodaLista"/>
        <w:numPr>
          <w:ilvl w:val="1"/>
          <w:numId w:val="2"/>
        </w:numPr>
        <w:tabs>
          <w:tab w:val="left" w:pos="426"/>
        </w:tabs>
        <w:jc w:val="both"/>
        <w:rPr>
          <w:rFonts w:ascii="Arial" w:hAnsi="Arial" w:cs="Arial"/>
          <w:sz w:val="16"/>
          <w:szCs w:val="16"/>
        </w:rPr>
      </w:pPr>
      <w:r w:rsidRPr="00BB44D1">
        <w:rPr>
          <w:rFonts w:ascii="Arial" w:hAnsi="Arial" w:cs="Arial"/>
          <w:b/>
          <w:sz w:val="16"/>
          <w:szCs w:val="16"/>
        </w:rPr>
        <w:t>PRAZO DE ENTREG</w:t>
      </w:r>
      <w:r w:rsidR="007D7067" w:rsidRPr="00BB44D1">
        <w:rPr>
          <w:rFonts w:ascii="Arial" w:hAnsi="Arial" w:cs="Arial"/>
          <w:b/>
          <w:sz w:val="16"/>
          <w:szCs w:val="16"/>
        </w:rPr>
        <w:t>A</w:t>
      </w:r>
      <w:r w:rsidR="0011594B" w:rsidRPr="00BB44D1">
        <w:rPr>
          <w:rFonts w:ascii="Arial" w:hAnsi="Arial" w:cs="Arial"/>
          <w:b/>
          <w:sz w:val="16"/>
          <w:szCs w:val="16"/>
        </w:rPr>
        <w:t>:</w:t>
      </w:r>
      <w:r w:rsidR="0011594B" w:rsidRPr="00BB44D1">
        <w:rPr>
          <w:rFonts w:ascii="Arial" w:hAnsi="Arial" w:cs="Arial"/>
          <w:sz w:val="16"/>
          <w:szCs w:val="16"/>
        </w:rPr>
        <w:t xml:space="preserve"> </w:t>
      </w:r>
      <w:r w:rsidR="00BB44D1" w:rsidRPr="00BB44D1">
        <w:rPr>
          <w:rFonts w:ascii="Arial" w:hAnsi="Arial" w:cs="Arial"/>
          <w:sz w:val="16"/>
          <w:szCs w:val="16"/>
        </w:rPr>
        <w:t>A entrega do objeto será realizada de acordo com as necessidades do Corpo de Bombeiros Militar do Estado de Rondônia, se dará a partir da emissão de ordem de fornecimento pelo órgão gerenciador e será encaminhada à Contratada informando a quantidade de pessoas, data, hora e local de sua realização com, no mínimo, 24 (vinte e quatro) horas de antecedência, respeitadas as quantidades indicadas em cada solicitação;</w:t>
      </w:r>
      <w:r w:rsidR="007D7067" w:rsidRPr="00BB44D1">
        <w:rPr>
          <w:rFonts w:ascii="Arial" w:hAnsi="Arial" w:cs="Arial"/>
          <w:kern w:val="36"/>
          <w:sz w:val="16"/>
          <w:szCs w:val="16"/>
        </w:rPr>
        <w:t xml:space="preserve"> </w:t>
      </w:r>
    </w:p>
    <w:p w:rsidR="007D7067" w:rsidRPr="00BB44D1" w:rsidRDefault="007D7067" w:rsidP="007D7067">
      <w:pPr>
        <w:tabs>
          <w:tab w:val="left" w:pos="426"/>
        </w:tabs>
        <w:jc w:val="both"/>
        <w:rPr>
          <w:rFonts w:ascii="Arial" w:hAnsi="Arial" w:cs="Arial"/>
          <w:sz w:val="16"/>
          <w:szCs w:val="16"/>
        </w:rPr>
      </w:pPr>
    </w:p>
    <w:p w:rsidR="002F3912" w:rsidRPr="00BB44D1" w:rsidRDefault="002F3912" w:rsidP="00262622">
      <w:pPr>
        <w:pStyle w:val="Corpodetexto3"/>
        <w:tabs>
          <w:tab w:val="left" w:pos="900"/>
        </w:tabs>
        <w:ind w:right="47"/>
        <w:rPr>
          <w:rFonts w:ascii="Arial" w:hAnsi="Arial" w:cs="Arial"/>
          <w:sz w:val="16"/>
          <w:szCs w:val="16"/>
        </w:rPr>
      </w:pPr>
    </w:p>
    <w:p w:rsidR="00946A1E" w:rsidRDefault="0011594B" w:rsidP="00191834">
      <w:pPr>
        <w:pStyle w:val="Corpodetexto3"/>
        <w:numPr>
          <w:ilvl w:val="1"/>
          <w:numId w:val="2"/>
        </w:numPr>
        <w:tabs>
          <w:tab w:val="left" w:pos="900"/>
        </w:tabs>
        <w:ind w:right="47"/>
        <w:rPr>
          <w:rFonts w:ascii="Arial" w:hAnsi="Arial" w:cs="Arial"/>
          <w:sz w:val="16"/>
          <w:szCs w:val="16"/>
        </w:rPr>
      </w:pPr>
      <w:r w:rsidRPr="00BB44D1">
        <w:rPr>
          <w:rFonts w:ascii="Arial" w:hAnsi="Arial" w:cs="Arial"/>
          <w:b/>
          <w:sz w:val="16"/>
          <w:szCs w:val="16"/>
        </w:rPr>
        <w:t>LOCAL DE ENTREGA/HORÁRIO:</w:t>
      </w:r>
      <w:r w:rsidRPr="00BB44D1">
        <w:rPr>
          <w:rFonts w:ascii="Arial" w:hAnsi="Arial" w:cs="Arial"/>
          <w:sz w:val="16"/>
          <w:szCs w:val="16"/>
        </w:rPr>
        <w:t xml:space="preserve"> </w:t>
      </w:r>
      <w:r w:rsidR="00BB44D1" w:rsidRPr="00BB44D1">
        <w:rPr>
          <w:rFonts w:ascii="Arial" w:hAnsi="Arial" w:cs="Arial"/>
          <w:sz w:val="16"/>
          <w:szCs w:val="16"/>
        </w:rPr>
        <w:t xml:space="preserve">Os serviços, na forma solicitada, deverá estar pronto para ser servido com pelo menos </w:t>
      </w:r>
      <w:proofErr w:type="gramStart"/>
      <w:r w:rsidR="00BB44D1" w:rsidRPr="00BB44D1">
        <w:rPr>
          <w:rFonts w:ascii="Arial" w:hAnsi="Arial" w:cs="Arial"/>
          <w:sz w:val="16"/>
          <w:szCs w:val="16"/>
        </w:rPr>
        <w:t>1</w:t>
      </w:r>
      <w:proofErr w:type="gramEnd"/>
      <w:r w:rsidR="00BB44D1" w:rsidRPr="00BB44D1">
        <w:rPr>
          <w:rFonts w:ascii="Arial" w:hAnsi="Arial" w:cs="Arial"/>
          <w:sz w:val="16"/>
          <w:szCs w:val="16"/>
        </w:rPr>
        <w:t xml:space="preserve"> (uma) hora de antecedência do horário previsto para o intervalo das atividades do evento, devendo a empresa contratada estar ciente que poderá haver alterações do início da prestação do serviço;</w:t>
      </w:r>
    </w:p>
    <w:p w:rsidR="00BB44D1" w:rsidRDefault="00BB44D1" w:rsidP="00BB44D1">
      <w:pPr>
        <w:pStyle w:val="Corpodetexto3"/>
        <w:tabs>
          <w:tab w:val="left" w:pos="900"/>
        </w:tabs>
        <w:ind w:left="360" w:right="47"/>
        <w:rPr>
          <w:rFonts w:ascii="Arial" w:hAnsi="Arial" w:cs="Arial"/>
          <w:sz w:val="16"/>
          <w:szCs w:val="16"/>
        </w:rPr>
      </w:pPr>
    </w:p>
    <w:p w:rsidR="00BB44D1" w:rsidRPr="00BB44D1" w:rsidRDefault="00BB44D1" w:rsidP="00BB44D1">
      <w:pPr>
        <w:pStyle w:val="Corpodetexto3"/>
        <w:numPr>
          <w:ilvl w:val="2"/>
          <w:numId w:val="2"/>
        </w:numPr>
        <w:tabs>
          <w:tab w:val="left" w:pos="900"/>
        </w:tabs>
        <w:ind w:right="47"/>
        <w:rPr>
          <w:rFonts w:ascii="Arial" w:hAnsi="Arial" w:cs="Arial"/>
          <w:sz w:val="16"/>
          <w:szCs w:val="16"/>
        </w:rPr>
      </w:pPr>
      <w:r w:rsidRPr="00BB44D1">
        <w:rPr>
          <w:rFonts w:ascii="Arial" w:hAnsi="Arial" w:cs="Arial"/>
          <w:sz w:val="16"/>
          <w:szCs w:val="16"/>
        </w:rPr>
        <w:t xml:space="preserve">O serviço será fornecido no local, data e horários definidos pelo Cerimonial, no caso do </w:t>
      </w:r>
      <w:r w:rsidRPr="00BB44D1">
        <w:rPr>
          <w:rFonts w:ascii="Arial" w:hAnsi="Arial" w:cs="Arial"/>
          <w:b/>
          <w:sz w:val="16"/>
          <w:szCs w:val="16"/>
        </w:rPr>
        <w:t>ALMOÇO e JANTAR</w:t>
      </w:r>
      <w:r w:rsidRPr="00BB44D1">
        <w:rPr>
          <w:rFonts w:ascii="Arial" w:hAnsi="Arial" w:cs="Arial"/>
          <w:sz w:val="16"/>
          <w:szCs w:val="16"/>
        </w:rPr>
        <w:t xml:space="preserve"> haverá necessidade de garçom para servir, ou seja, os produtos serão entregues no lugar estipulado, sendo de inteira responsabilidade da Contratada a ordem e composição dos mesmos.</w:t>
      </w:r>
    </w:p>
    <w:p w:rsidR="00191834" w:rsidRDefault="00191834" w:rsidP="00191834">
      <w:pPr>
        <w:pStyle w:val="PargrafodaLista"/>
        <w:rPr>
          <w:rFonts w:ascii="Arial" w:hAnsi="Arial" w:cs="Arial"/>
          <w:b/>
          <w:bCs/>
          <w:sz w:val="16"/>
          <w:szCs w:val="16"/>
        </w:rPr>
      </w:pPr>
    </w:p>
    <w:p w:rsidR="00BB44D1" w:rsidRPr="00BB44D1" w:rsidRDefault="00BB44D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lastRenderedPageBreak/>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A empresa detentora da Ata apresentará a Gerência Financeira do Órgão requisitante </w:t>
      </w:r>
      <w:proofErr w:type="gramStart"/>
      <w:r w:rsidRPr="004151FF">
        <w:rPr>
          <w:rFonts w:ascii="Arial" w:hAnsi="Arial" w:cs="Arial"/>
          <w:sz w:val="16"/>
          <w:szCs w:val="16"/>
        </w:rPr>
        <w:t>a</w:t>
      </w:r>
      <w:proofErr w:type="gramEnd"/>
      <w:r w:rsidRPr="004151FF">
        <w:rPr>
          <w:rFonts w:ascii="Arial" w:hAnsi="Arial" w:cs="Arial"/>
          <w:sz w:val="16"/>
          <w:szCs w:val="16"/>
        </w:rPr>
        <w:t xml:space="preserve">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BB44D1" w:rsidRPr="00BB44D1" w:rsidRDefault="00BB44D1" w:rsidP="00BB44D1">
      <w:pPr>
        <w:pStyle w:val="SemEspaamento2"/>
        <w:tabs>
          <w:tab w:val="left" w:pos="993"/>
        </w:tabs>
        <w:suppressAutoHyphens/>
        <w:jc w:val="both"/>
        <w:rPr>
          <w:rFonts w:ascii="Arial" w:hAnsi="Arial" w:cs="Arial"/>
          <w:color w:val="000000"/>
          <w:sz w:val="16"/>
          <w:szCs w:val="16"/>
        </w:rPr>
      </w:pPr>
      <w:r w:rsidRPr="00BB44D1">
        <w:rPr>
          <w:rFonts w:ascii="Arial" w:hAnsi="Arial" w:cs="Arial"/>
          <w:sz w:val="16"/>
          <w:szCs w:val="16"/>
        </w:rPr>
        <w:t xml:space="preserve">9.1 - Sem prejuízo das sanções cominadas no art. 87, I, III e IV, da Lei nº 8.666/93, pela inexecução total ou parcial do contrato, a Administração poderá, garantida a prévia e </w:t>
      </w:r>
      <w:r w:rsidRPr="00BB44D1">
        <w:rPr>
          <w:rFonts w:ascii="Arial" w:hAnsi="Arial" w:cs="Arial"/>
          <w:color w:val="000000"/>
          <w:sz w:val="16"/>
          <w:szCs w:val="16"/>
        </w:rPr>
        <w:t xml:space="preserve">ampla defesa, aplicar à Contratada multa de até 10% (dez por cento) sobre o valor da parte inadimplida. </w:t>
      </w:r>
    </w:p>
    <w:p w:rsidR="00BB44D1" w:rsidRPr="00BB44D1" w:rsidRDefault="00BB44D1" w:rsidP="00BB44D1">
      <w:pPr>
        <w:pStyle w:val="SemEspaamento2"/>
        <w:tabs>
          <w:tab w:val="left" w:pos="-142"/>
          <w:tab w:val="left" w:pos="567"/>
        </w:tabs>
        <w:suppressAutoHyphens/>
        <w:jc w:val="both"/>
        <w:rPr>
          <w:rFonts w:ascii="Arial" w:hAnsi="Arial" w:cs="Arial"/>
          <w:color w:val="000000"/>
          <w:sz w:val="16"/>
          <w:szCs w:val="16"/>
        </w:rPr>
      </w:pPr>
      <w:r w:rsidRPr="00BB44D1">
        <w:rPr>
          <w:rFonts w:ascii="Arial" w:hAnsi="Arial" w:cs="Arial"/>
          <w:color w:val="000000"/>
          <w:sz w:val="16"/>
          <w:szCs w:val="16"/>
        </w:rPr>
        <w:t>9.2 -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color w:val="000000"/>
          <w:sz w:val="16"/>
          <w:szCs w:val="16"/>
        </w:rPr>
        <w:t>9.3 - A licitante, adjudicatária ou contratada que,</w:t>
      </w:r>
      <w:r w:rsidRPr="00BB44D1">
        <w:rPr>
          <w:rFonts w:ascii="Arial" w:hAnsi="Arial" w:cs="Arial"/>
          <w:sz w:val="16"/>
          <w:szCs w:val="16"/>
        </w:rPr>
        <w:t xml:space="preserv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BB44D1">
        <w:rPr>
          <w:rFonts w:ascii="Arial" w:hAnsi="Arial" w:cs="Arial"/>
          <w:sz w:val="16"/>
          <w:szCs w:val="16"/>
        </w:rPr>
        <w:t>descredenciado no Cadastro de Fornecedores Estadual</w:t>
      </w:r>
      <w:proofErr w:type="gramEnd"/>
      <w:r w:rsidRPr="00BB44D1">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sz w:val="16"/>
          <w:szCs w:val="16"/>
        </w:rPr>
        <w:t>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sz w:val="16"/>
          <w:szCs w:val="16"/>
        </w:rPr>
        <w:t>9.5 - As multas previstas nesta seção não eximem a adjudicatária ou contratada da reparação dos eventuais danos, perdas ou prejuízos que seu ato punível venha causar à Administração.</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sz w:val="16"/>
          <w:szCs w:val="16"/>
        </w:rPr>
        <w:t>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sz w:val="16"/>
          <w:szCs w:val="16"/>
        </w:rPr>
        <w:t>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44D1" w:rsidRPr="00BB44D1" w:rsidRDefault="00BB44D1" w:rsidP="00BB44D1">
      <w:pPr>
        <w:pStyle w:val="SemEspaamento2"/>
        <w:tabs>
          <w:tab w:val="left" w:pos="-142"/>
          <w:tab w:val="left" w:pos="567"/>
        </w:tabs>
        <w:suppressAutoHyphens/>
        <w:jc w:val="both"/>
        <w:rPr>
          <w:rFonts w:ascii="Arial" w:hAnsi="Arial" w:cs="Arial"/>
          <w:sz w:val="16"/>
          <w:szCs w:val="16"/>
        </w:rPr>
      </w:pPr>
      <w:r w:rsidRPr="00BB44D1">
        <w:rPr>
          <w:rFonts w:ascii="Arial" w:hAnsi="Arial" w:cs="Arial"/>
          <w:sz w:val="16"/>
          <w:szCs w:val="16"/>
        </w:rPr>
        <w:t>9.8 - São exemplos de infração administrativa penalizáveis, nos termos da Lei nº 8.666, de 1993, da Lei nº 10.520, de 2002, do Decreto nº 3.555, de 2000, e do Decreto nº 5.450, de 2005:</w:t>
      </w:r>
    </w:p>
    <w:p w:rsidR="00BB44D1" w:rsidRPr="00BB44D1" w:rsidRDefault="00BB44D1" w:rsidP="00BB44D1">
      <w:pPr>
        <w:numPr>
          <w:ilvl w:val="0"/>
          <w:numId w:val="12"/>
        </w:numPr>
        <w:tabs>
          <w:tab w:val="left" w:pos="1134"/>
        </w:tabs>
        <w:ind w:left="0" w:firstLine="0"/>
        <w:contextualSpacing/>
        <w:jc w:val="both"/>
        <w:rPr>
          <w:rFonts w:ascii="Arial" w:hAnsi="Arial" w:cs="Arial"/>
          <w:sz w:val="16"/>
          <w:szCs w:val="16"/>
        </w:rPr>
      </w:pPr>
      <w:r w:rsidRPr="00BB44D1">
        <w:rPr>
          <w:rFonts w:ascii="Arial" w:hAnsi="Arial" w:cs="Arial"/>
          <w:sz w:val="16"/>
          <w:szCs w:val="16"/>
        </w:rPr>
        <w:t>Inexecução total ou parcial do contrato;</w:t>
      </w:r>
    </w:p>
    <w:p w:rsidR="00BB44D1" w:rsidRPr="00BB44D1" w:rsidRDefault="00BB44D1" w:rsidP="00BB44D1">
      <w:pPr>
        <w:numPr>
          <w:ilvl w:val="0"/>
          <w:numId w:val="12"/>
        </w:numPr>
        <w:tabs>
          <w:tab w:val="left" w:pos="1134"/>
        </w:tabs>
        <w:ind w:left="0" w:firstLine="0"/>
        <w:contextualSpacing/>
        <w:jc w:val="both"/>
        <w:rPr>
          <w:rFonts w:ascii="Arial" w:hAnsi="Arial" w:cs="Arial"/>
          <w:sz w:val="16"/>
          <w:szCs w:val="16"/>
        </w:rPr>
      </w:pPr>
      <w:r w:rsidRPr="00BB44D1">
        <w:rPr>
          <w:rFonts w:ascii="Arial" w:hAnsi="Arial" w:cs="Arial"/>
          <w:sz w:val="16"/>
          <w:szCs w:val="16"/>
        </w:rPr>
        <w:t>Apresentação de documentação falsa;</w:t>
      </w:r>
    </w:p>
    <w:p w:rsidR="00BB44D1" w:rsidRPr="00BB44D1" w:rsidRDefault="00BB44D1" w:rsidP="00BB44D1">
      <w:pPr>
        <w:numPr>
          <w:ilvl w:val="0"/>
          <w:numId w:val="12"/>
        </w:numPr>
        <w:tabs>
          <w:tab w:val="left" w:pos="1134"/>
        </w:tabs>
        <w:ind w:left="0" w:firstLine="0"/>
        <w:contextualSpacing/>
        <w:jc w:val="both"/>
        <w:rPr>
          <w:rFonts w:ascii="Arial" w:hAnsi="Arial" w:cs="Arial"/>
          <w:sz w:val="16"/>
          <w:szCs w:val="16"/>
        </w:rPr>
      </w:pPr>
      <w:r w:rsidRPr="00BB44D1">
        <w:rPr>
          <w:rFonts w:ascii="Arial" w:hAnsi="Arial" w:cs="Arial"/>
          <w:sz w:val="16"/>
          <w:szCs w:val="16"/>
        </w:rPr>
        <w:t>Comportamento inidôneo;</w:t>
      </w:r>
    </w:p>
    <w:p w:rsidR="00BB44D1" w:rsidRPr="00BB44D1" w:rsidRDefault="00BB44D1" w:rsidP="00BB44D1">
      <w:pPr>
        <w:numPr>
          <w:ilvl w:val="0"/>
          <w:numId w:val="12"/>
        </w:numPr>
        <w:tabs>
          <w:tab w:val="left" w:pos="1134"/>
        </w:tabs>
        <w:ind w:left="0" w:firstLine="0"/>
        <w:contextualSpacing/>
        <w:jc w:val="both"/>
        <w:rPr>
          <w:rFonts w:ascii="Arial" w:hAnsi="Arial" w:cs="Arial"/>
          <w:sz w:val="16"/>
          <w:szCs w:val="16"/>
        </w:rPr>
      </w:pPr>
      <w:r w:rsidRPr="00BB44D1">
        <w:rPr>
          <w:rFonts w:ascii="Arial" w:hAnsi="Arial" w:cs="Arial"/>
          <w:sz w:val="16"/>
          <w:szCs w:val="16"/>
        </w:rPr>
        <w:t>Fraude fiscal;</w:t>
      </w:r>
    </w:p>
    <w:p w:rsidR="00BB44D1" w:rsidRPr="00BB44D1" w:rsidRDefault="00BB44D1" w:rsidP="00BB44D1">
      <w:pPr>
        <w:numPr>
          <w:ilvl w:val="0"/>
          <w:numId w:val="12"/>
        </w:numPr>
        <w:tabs>
          <w:tab w:val="left" w:pos="1134"/>
        </w:tabs>
        <w:ind w:left="0" w:firstLine="0"/>
        <w:contextualSpacing/>
        <w:jc w:val="both"/>
        <w:rPr>
          <w:rFonts w:ascii="Arial" w:hAnsi="Arial" w:cs="Arial"/>
          <w:sz w:val="16"/>
          <w:szCs w:val="16"/>
        </w:rPr>
      </w:pPr>
      <w:r w:rsidRPr="00BB44D1">
        <w:rPr>
          <w:rFonts w:ascii="Arial" w:hAnsi="Arial" w:cs="Arial"/>
          <w:sz w:val="16"/>
          <w:szCs w:val="16"/>
        </w:rPr>
        <w:t>Descumprimento de qualquer dos deveres elencados no Edital ou no Contrato.</w:t>
      </w:r>
    </w:p>
    <w:p w:rsidR="00BB44D1" w:rsidRPr="00BB44D1" w:rsidRDefault="00BB44D1" w:rsidP="00BB44D1">
      <w:pPr>
        <w:pStyle w:val="SemEspaamento2"/>
        <w:tabs>
          <w:tab w:val="left" w:pos="567"/>
        </w:tabs>
        <w:suppressAutoHyphens/>
        <w:jc w:val="both"/>
        <w:rPr>
          <w:rFonts w:ascii="Arial" w:hAnsi="Arial" w:cs="Arial"/>
          <w:sz w:val="16"/>
          <w:szCs w:val="16"/>
        </w:rPr>
      </w:pPr>
      <w:r w:rsidRPr="00BB44D1">
        <w:rPr>
          <w:rFonts w:ascii="Arial" w:hAnsi="Arial" w:cs="Arial"/>
          <w:sz w:val="16"/>
          <w:szCs w:val="16"/>
        </w:rPr>
        <w:t>9.9 - As sanções serão aplicadas sem prejuízo da responsabilidade civil e criminal que possa ser acionada em desfavor da Contratada, conforme infração cometida e prejuízos causados à administração ou a terceiros.</w:t>
      </w:r>
    </w:p>
    <w:p w:rsidR="00BB44D1" w:rsidRPr="00BB44D1" w:rsidRDefault="00BB44D1" w:rsidP="00BB44D1">
      <w:pPr>
        <w:pStyle w:val="SemEspaamento2"/>
        <w:tabs>
          <w:tab w:val="left" w:pos="567"/>
        </w:tabs>
        <w:suppressAutoHyphens/>
        <w:jc w:val="both"/>
        <w:rPr>
          <w:rFonts w:ascii="Arial" w:hAnsi="Arial" w:cs="Arial"/>
          <w:sz w:val="16"/>
          <w:szCs w:val="16"/>
        </w:rPr>
      </w:pPr>
      <w:r w:rsidRPr="00BB44D1">
        <w:rPr>
          <w:rFonts w:ascii="Arial" w:hAnsi="Arial" w:cs="Arial"/>
          <w:sz w:val="16"/>
          <w:szCs w:val="16"/>
        </w:rPr>
        <w:t>9.10 - Para efeito de aplicação de multas, às infrações são atribuídos graus, com percentuais de multa conforme a tabela a seguir, que elenca apenas as principais situações previstas, não eximindo de outras equivalentes que surgirem, conforme o caso:</w:t>
      </w:r>
    </w:p>
    <w:p w:rsidR="00BB44D1" w:rsidRPr="00BB44D1" w:rsidRDefault="00BB44D1" w:rsidP="00BB44D1">
      <w:pPr>
        <w:pStyle w:val="SemEspaamento2"/>
        <w:tabs>
          <w:tab w:val="left" w:pos="567"/>
        </w:tabs>
        <w:suppressAutoHyphens/>
        <w:jc w:val="both"/>
        <w:rPr>
          <w:rFonts w:ascii="Arial" w:hAnsi="Arial" w:cs="Arial"/>
          <w:sz w:val="16"/>
          <w:szCs w:val="16"/>
        </w:rPr>
      </w:pPr>
    </w:p>
    <w:p w:rsidR="00BB44D1" w:rsidRPr="00BB44D1" w:rsidRDefault="00BB44D1" w:rsidP="00BB44D1">
      <w:pPr>
        <w:pStyle w:val="SemEspaamento2"/>
        <w:tabs>
          <w:tab w:val="left" w:pos="567"/>
        </w:tabs>
        <w:suppressAutoHyphens/>
        <w:jc w:val="both"/>
        <w:rPr>
          <w:rFonts w:ascii="Arial" w:hAnsi="Arial" w:cs="Arial"/>
          <w:sz w:val="16"/>
          <w:szCs w:val="16"/>
        </w:rPr>
      </w:pPr>
      <w:r w:rsidRPr="00BB44D1">
        <w:rPr>
          <w:rFonts w:ascii="Arial" w:hAnsi="Arial" w:cs="Arial"/>
          <w:sz w:val="16"/>
          <w:szCs w:val="16"/>
        </w:rPr>
        <w:t xml:space="preserve">9.11- </w:t>
      </w:r>
    </w:p>
    <w:tbl>
      <w:tblPr>
        <w:tblW w:w="9532" w:type="dxa"/>
        <w:jc w:val="right"/>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438"/>
      </w:tblGrid>
      <w:tr w:rsidR="00BB44D1" w:rsidRPr="00BB44D1" w:rsidTr="00BB44D1">
        <w:trPr>
          <w:jc w:val="right"/>
        </w:trPr>
        <w:tc>
          <w:tcPr>
            <w:tcW w:w="697" w:type="dxa"/>
            <w:shd w:val="clear" w:color="auto" w:fill="000000"/>
            <w:vAlign w:val="center"/>
          </w:tcPr>
          <w:p w:rsidR="00BB44D1" w:rsidRPr="00BB44D1" w:rsidRDefault="00BB44D1" w:rsidP="00BB44D1">
            <w:pPr>
              <w:autoSpaceDE w:val="0"/>
              <w:autoSpaceDN w:val="0"/>
              <w:adjustRightInd w:val="0"/>
              <w:ind w:right="-147"/>
              <w:rPr>
                <w:rFonts w:ascii="Arial" w:hAnsi="Arial" w:cs="Arial"/>
                <w:bCs/>
                <w:color w:val="FFFFFF"/>
                <w:sz w:val="16"/>
                <w:szCs w:val="16"/>
              </w:rPr>
            </w:pPr>
            <w:r w:rsidRPr="00BB44D1">
              <w:rPr>
                <w:rFonts w:ascii="Arial" w:hAnsi="Arial" w:cs="Arial"/>
                <w:bCs/>
                <w:color w:val="FFFFFF"/>
                <w:sz w:val="16"/>
                <w:szCs w:val="16"/>
              </w:rPr>
              <w:t>ITEM</w:t>
            </w:r>
          </w:p>
        </w:tc>
        <w:tc>
          <w:tcPr>
            <w:tcW w:w="6471" w:type="dxa"/>
            <w:shd w:val="clear" w:color="auto" w:fill="000000"/>
            <w:vAlign w:val="center"/>
          </w:tcPr>
          <w:p w:rsidR="00BB44D1" w:rsidRPr="00BB44D1" w:rsidRDefault="00BB44D1" w:rsidP="00BB44D1">
            <w:pPr>
              <w:autoSpaceDE w:val="0"/>
              <w:autoSpaceDN w:val="0"/>
              <w:adjustRightInd w:val="0"/>
              <w:rPr>
                <w:rFonts w:ascii="Arial" w:hAnsi="Arial" w:cs="Arial"/>
                <w:bCs/>
                <w:color w:val="FFFFFF"/>
                <w:sz w:val="16"/>
                <w:szCs w:val="16"/>
              </w:rPr>
            </w:pPr>
            <w:r w:rsidRPr="00BB44D1">
              <w:rPr>
                <w:rFonts w:ascii="Arial" w:hAnsi="Arial" w:cs="Arial"/>
                <w:bCs/>
                <w:color w:val="FFFFFF"/>
                <w:sz w:val="16"/>
                <w:szCs w:val="16"/>
              </w:rPr>
              <w:t>DESCRIÇÃO DA INFRAÇÃO</w:t>
            </w:r>
          </w:p>
        </w:tc>
        <w:tc>
          <w:tcPr>
            <w:tcW w:w="926" w:type="dxa"/>
            <w:shd w:val="clear" w:color="auto" w:fill="000000"/>
            <w:vAlign w:val="center"/>
          </w:tcPr>
          <w:p w:rsidR="00BB44D1" w:rsidRPr="00BB44D1" w:rsidRDefault="00BB44D1" w:rsidP="00BB44D1">
            <w:pPr>
              <w:autoSpaceDE w:val="0"/>
              <w:autoSpaceDN w:val="0"/>
              <w:adjustRightInd w:val="0"/>
              <w:jc w:val="center"/>
              <w:rPr>
                <w:rFonts w:ascii="Arial" w:hAnsi="Arial" w:cs="Arial"/>
                <w:bCs/>
                <w:color w:val="FFFFFF"/>
                <w:sz w:val="16"/>
                <w:szCs w:val="16"/>
              </w:rPr>
            </w:pPr>
            <w:r w:rsidRPr="00BB44D1">
              <w:rPr>
                <w:rFonts w:ascii="Arial" w:hAnsi="Arial" w:cs="Arial"/>
                <w:bCs/>
                <w:color w:val="FFFFFF"/>
                <w:sz w:val="16"/>
                <w:szCs w:val="16"/>
              </w:rPr>
              <w:t>GRAU</w:t>
            </w:r>
          </w:p>
        </w:tc>
        <w:tc>
          <w:tcPr>
            <w:tcW w:w="1438" w:type="dxa"/>
            <w:shd w:val="clear" w:color="auto" w:fill="000000"/>
            <w:vAlign w:val="center"/>
          </w:tcPr>
          <w:p w:rsidR="00BB44D1" w:rsidRPr="00BB44D1" w:rsidRDefault="00BB44D1" w:rsidP="00BB44D1">
            <w:pPr>
              <w:autoSpaceDE w:val="0"/>
              <w:autoSpaceDN w:val="0"/>
              <w:adjustRightInd w:val="0"/>
              <w:jc w:val="center"/>
              <w:rPr>
                <w:rFonts w:ascii="Arial" w:hAnsi="Arial" w:cs="Arial"/>
                <w:bCs/>
                <w:color w:val="FFFFFF"/>
                <w:sz w:val="16"/>
                <w:szCs w:val="16"/>
              </w:rPr>
            </w:pPr>
            <w:r w:rsidRPr="00BB44D1">
              <w:rPr>
                <w:rFonts w:ascii="Arial" w:hAnsi="Arial" w:cs="Arial"/>
                <w:bCs/>
                <w:color w:val="FFFFFF"/>
                <w:sz w:val="16"/>
                <w:szCs w:val="16"/>
              </w:rPr>
              <w:t>MULTA*</w:t>
            </w:r>
          </w:p>
        </w:tc>
      </w:tr>
      <w:tr w:rsidR="00BB44D1" w:rsidRPr="00BB44D1" w:rsidTr="00BB44D1">
        <w:trPr>
          <w:jc w:val="right"/>
        </w:trPr>
        <w:tc>
          <w:tcPr>
            <w:tcW w:w="697" w:type="dxa"/>
            <w:tcBorders>
              <w:top w:val="single" w:sz="8" w:space="0" w:color="000000"/>
              <w:left w:val="single" w:sz="8" w:space="0" w:color="000000"/>
              <w:bottom w:val="single" w:sz="8" w:space="0" w:color="000000"/>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06</w:t>
            </w:r>
          </w:p>
        </w:tc>
        <w:tc>
          <w:tcPr>
            <w:tcW w:w="1438" w:type="dxa"/>
            <w:tcBorders>
              <w:top w:val="single" w:sz="8" w:space="0" w:color="000000"/>
              <w:bottom w:val="single" w:sz="8" w:space="0" w:color="000000"/>
              <w:right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4,0% por dia</w:t>
            </w:r>
          </w:p>
        </w:tc>
      </w:tr>
      <w:tr w:rsidR="00BB44D1" w:rsidRPr="00BB44D1" w:rsidTr="00BB44D1">
        <w:trPr>
          <w:jc w:val="right"/>
        </w:trPr>
        <w:tc>
          <w:tcPr>
            <w:tcW w:w="697" w:type="dxa"/>
            <w:tcBorders>
              <w:top w:val="single" w:sz="8" w:space="0" w:color="000000"/>
              <w:left w:val="single" w:sz="8" w:space="0" w:color="000000"/>
              <w:bottom w:val="single" w:sz="8" w:space="0" w:color="000000"/>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Suspender ou interromper, salvo por motivo de força maior ou caso fortuito, os serviços contratuais por dia;</w:t>
            </w:r>
          </w:p>
        </w:tc>
        <w:tc>
          <w:tcPr>
            <w:tcW w:w="926"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05</w:t>
            </w:r>
          </w:p>
        </w:tc>
        <w:tc>
          <w:tcPr>
            <w:tcW w:w="1438" w:type="dxa"/>
            <w:tcBorders>
              <w:top w:val="single" w:sz="8" w:space="0" w:color="000000"/>
              <w:bottom w:val="single" w:sz="8" w:space="0" w:color="000000"/>
              <w:right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3,2% por dia</w:t>
            </w:r>
          </w:p>
        </w:tc>
      </w:tr>
      <w:tr w:rsidR="00BB44D1" w:rsidRPr="00BB44D1" w:rsidTr="00BB44D1">
        <w:trPr>
          <w:jc w:val="right"/>
        </w:trPr>
        <w:tc>
          <w:tcPr>
            <w:tcW w:w="697" w:type="dxa"/>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Destruir ou danificar documentos por culpa ou dolo de seus agentes; por ocorrência.</w:t>
            </w:r>
          </w:p>
        </w:tc>
        <w:tc>
          <w:tcPr>
            <w:tcW w:w="926" w:type="dxa"/>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05</w:t>
            </w:r>
          </w:p>
        </w:tc>
        <w:tc>
          <w:tcPr>
            <w:tcW w:w="1438" w:type="dxa"/>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3,2% por dia</w:t>
            </w:r>
          </w:p>
        </w:tc>
      </w:tr>
      <w:tr w:rsidR="00BB44D1" w:rsidRPr="00BB44D1" w:rsidTr="00BB44D1">
        <w:trPr>
          <w:jc w:val="right"/>
        </w:trPr>
        <w:tc>
          <w:tcPr>
            <w:tcW w:w="697" w:type="dxa"/>
            <w:tcBorders>
              <w:top w:val="single" w:sz="8" w:space="0" w:color="000000"/>
              <w:left w:val="single" w:sz="8" w:space="0" w:color="000000"/>
              <w:bottom w:val="single" w:sz="8" w:space="0" w:color="000000"/>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04</w:t>
            </w:r>
          </w:p>
        </w:tc>
        <w:tc>
          <w:tcPr>
            <w:tcW w:w="1438" w:type="dxa"/>
            <w:tcBorders>
              <w:top w:val="single" w:sz="8" w:space="0" w:color="000000"/>
              <w:bottom w:val="single" w:sz="8" w:space="0" w:color="000000"/>
              <w:right w:val="single" w:sz="8" w:space="0" w:color="000000"/>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1,6% por dia</w:t>
            </w:r>
          </w:p>
        </w:tc>
      </w:tr>
      <w:tr w:rsidR="00BB44D1" w:rsidRPr="00BB44D1" w:rsidTr="00BB44D1">
        <w:trPr>
          <w:jc w:val="right"/>
        </w:trPr>
        <w:tc>
          <w:tcPr>
            <w:tcW w:w="697" w:type="dxa"/>
            <w:tcBorders>
              <w:top w:val="single" w:sz="8" w:space="0" w:color="000000"/>
              <w:bottom w:val="nil"/>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8" w:space="0" w:color="000000"/>
              <w:bottom w:val="nil"/>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Executar serviço incompleto, paliativo substitutivo como por caráter permanente, ou deixar de providenciar recomposição complementar; por ocorrência.</w:t>
            </w:r>
          </w:p>
        </w:tc>
        <w:tc>
          <w:tcPr>
            <w:tcW w:w="926" w:type="dxa"/>
            <w:tcBorders>
              <w:bottom w:val="nil"/>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02</w:t>
            </w:r>
          </w:p>
        </w:tc>
        <w:tc>
          <w:tcPr>
            <w:tcW w:w="1438" w:type="dxa"/>
            <w:tcBorders>
              <w:bottom w:val="nil"/>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0,4% por dia</w:t>
            </w:r>
          </w:p>
        </w:tc>
      </w:tr>
      <w:tr w:rsidR="00BB44D1" w:rsidRPr="00BB44D1" w:rsidTr="00BB44D1">
        <w:trPr>
          <w:jc w:val="right"/>
        </w:trPr>
        <w:tc>
          <w:tcPr>
            <w:tcW w:w="9532" w:type="dxa"/>
            <w:gridSpan w:val="4"/>
            <w:tcBorders>
              <w:top w:val="nil"/>
              <w:bottom w:val="single" w:sz="4" w:space="0" w:color="auto"/>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Para os itens a seguir, deixar de:</w:t>
            </w:r>
          </w:p>
        </w:tc>
      </w:tr>
      <w:tr w:rsidR="00BB44D1" w:rsidRPr="00BB44D1" w:rsidTr="00BB44D1">
        <w:trPr>
          <w:jc w:val="right"/>
        </w:trPr>
        <w:tc>
          <w:tcPr>
            <w:tcW w:w="697" w:type="dxa"/>
            <w:tcBorders>
              <w:top w:val="single" w:sz="4" w:space="0" w:color="auto"/>
              <w:bottom w:val="single" w:sz="4" w:space="0" w:color="auto"/>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4" w:space="0" w:color="auto"/>
              <w:bottom w:val="single" w:sz="4" w:space="0" w:color="auto"/>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Borders>
              <w:top w:val="single" w:sz="4" w:space="0" w:color="auto"/>
              <w:bottom w:val="single" w:sz="4" w:space="0" w:color="auto"/>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05</w:t>
            </w:r>
          </w:p>
        </w:tc>
        <w:tc>
          <w:tcPr>
            <w:tcW w:w="1438" w:type="dxa"/>
            <w:tcBorders>
              <w:top w:val="single" w:sz="4" w:space="0" w:color="auto"/>
              <w:bottom w:val="single" w:sz="4" w:space="0" w:color="auto"/>
            </w:tcBorders>
            <w:vAlign w:val="center"/>
          </w:tcPr>
          <w:p w:rsidR="00BB44D1" w:rsidRPr="00BB44D1" w:rsidRDefault="00BB44D1" w:rsidP="00BB44D1">
            <w:pPr>
              <w:autoSpaceDE w:val="0"/>
              <w:autoSpaceDN w:val="0"/>
              <w:adjustRightInd w:val="0"/>
              <w:jc w:val="center"/>
              <w:rPr>
                <w:rFonts w:ascii="Arial" w:hAnsi="Arial" w:cs="Arial"/>
                <w:sz w:val="16"/>
                <w:szCs w:val="16"/>
              </w:rPr>
            </w:pPr>
            <w:r w:rsidRPr="00BB44D1">
              <w:rPr>
                <w:rFonts w:ascii="Arial" w:hAnsi="Arial" w:cs="Arial"/>
                <w:bCs/>
                <w:sz w:val="16"/>
                <w:szCs w:val="16"/>
              </w:rPr>
              <w:t>3,2% por dia</w:t>
            </w:r>
          </w:p>
        </w:tc>
      </w:tr>
      <w:tr w:rsidR="00BB44D1" w:rsidRPr="00BB44D1" w:rsidTr="00BB44D1">
        <w:trPr>
          <w:jc w:val="right"/>
        </w:trPr>
        <w:tc>
          <w:tcPr>
            <w:tcW w:w="697" w:type="dxa"/>
            <w:tcBorders>
              <w:top w:val="single" w:sz="4" w:space="0" w:color="auto"/>
              <w:bottom w:val="single" w:sz="4" w:space="0" w:color="auto"/>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4" w:space="0" w:color="auto"/>
              <w:bottom w:val="single" w:sz="4" w:space="0" w:color="auto"/>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03</w:t>
            </w:r>
          </w:p>
        </w:tc>
        <w:tc>
          <w:tcPr>
            <w:tcW w:w="1438" w:type="dxa"/>
            <w:tcBorders>
              <w:top w:val="single" w:sz="4" w:space="0" w:color="auto"/>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0,8% por dia</w:t>
            </w:r>
          </w:p>
        </w:tc>
      </w:tr>
      <w:tr w:rsidR="00BB44D1" w:rsidRPr="00BB44D1" w:rsidTr="00BB44D1">
        <w:trPr>
          <w:trHeight w:val="797"/>
          <w:jc w:val="right"/>
        </w:trPr>
        <w:tc>
          <w:tcPr>
            <w:tcW w:w="697" w:type="dxa"/>
            <w:tcBorders>
              <w:top w:val="single" w:sz="4" w:space="0" w:color="auto"/>
              <w:left w:val="single" w:sz="8" w:space="0" w:color="000000"/>
              <w:bottom w:val="single" w:sz="8" w:space="0" w:color="000000"/>
            </w:tcBorders>
            <w:vAlign w:val="center"/>
          </w:tcPr>
          <w:p w:rsidR="00BB44D1" w:rsidRPr="00BB44D1" w:rsidRDefault="00BB44D1" w:rsidP="00BB44D1">
            <w:pPr>
              <w:numPr>
                <w:ilvl w:val="0"/>
                <w:numId w:val="14"/>
              </w:numPr>
              <w:autoSpaceDE w:val="0"/>
              <w:autoSpaceDN w:val="0"/>
              <w:adjustRightInd w:val="0"/>
              <w:ind w:left="0" w:firstLine="0"/>
              <w:jc w:val="both"/>
              <w:rPr>
                <w:rFonts w:ascii="Arial" w:hAnsi="Arial" w:cs="Arial"/>
                <w:bCs/>
                <w:sz w:val="16"/>
                <w:szCs w:val="16"/>
              </w:rPr>
            </w:pPr>
          </w:p>
        </w:tc>
        <w:tc>
          <w:tcPr>
            <w:tcW w:w="6471" w:type="dxa"/>
            <w:tcBorders>
              <w:top w:val="single" w:sz="4" w:space="0" w:color="auto"/>
              <w:bottom w:val="single" w:sz="8" w:space="0" w:color="000000"/>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Cumprir determinação formal ou instrução complementar da FISCALIZAÇÃO, por ocorrência;</w:t>
            </w:r>
          </w:p>
        </w:tc>
        <w:tc>
          <w:tcPr>
            <w:tcW w:w="926"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03</w:t>
            </w:r>
          </w:p>
        </w:tc>
        <w:tc>
          <w:tcPr>
            <w:tcW w:w="1438" w:type="dxa"/>
            <w:tcBorders>
              <w:top w:val="single" w:sz="8" w:space="0" w:color="000000"/>
              <w:bottom w:val="single" w:sz="8" w:space="0" w:color="000000"/>
              <w:right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0,8% por dia</w:t>
            </w:r>
          </w:p>
        </w:tc>
      </w:tr>
      <w:tr w:rsidR="00BB44D1" w:rsidRPr="00BB44D1" w:rsidTr="00BB44D1">
        <w:trPr>
          <w:jc w:val="right"/>
        </w:trPr>
        <w:tc>
          <w:tcPr>
            <w:tcW w:w="697" w:type="dxa"/>
            <w:vAlign w:val="center"/>
          </w:tcPr>
          <w:p w:rsidR="00BB44D1" w:rsidRPr="00BB44D1" w:rsidRDefault="00BB44D1" w:rsidP="00BB44D1">
            <w:pPr>
              <w:numPr>
                <w:ilvl w:val="0"/>
                <w:numId w:val="14"/>
              </w:numPr>
              <w:autoSpaceDE w:val="0"/>
              <w:autoSpaceDN w:val="0"/>
              <w:adjustRightInd w:val="0"/>
              <w:ind w:left="0" w:firstLine="0"/>
              <w:jc w:val="both"/>
              <w:rPr>
                <w:rFonts w:ascii="Arial" w:hAnsi="Arial" w:cs="Arial"/>
                <w:bCs/>
                <w:sz w:val="16"/>
                <w:szCs w:val="16"/>
              </w:rPr>
            </w:pPr>
          </w:p>
        </w:tc>
        <w:tc>
          <w:tcPr>
            <w:tcW w:w="6471" w:type="dxa"/>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Iniciar execução de serviço nos prazos estabelecidos, observados os limites mínimos estabelecidos por este Contrato; por serviço, por ocorrência.</w:t>
            </w:r>
          </w:p>
        </w:tc>
        <w:tc>
          <w:tcPr>
            <w:tcW w:w="926" w:type="dxa"/>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02</w:t>
            </w:r>
          </w:p>
        </w:tc>
        <w:tc>
          <w:tcPr>
            <w:tcW w:w="1438" w:type="dxa"/>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0,4% por dia</w:t>
            </w:r>
          </w:p>
        </w:tc>
      </w:tr>
      <w:tr w:rsidR="00BB44D1" w:rsidRPr="00BB44D1" w:rsidTr="00BB44D1">
        <w:trPr>
          <w:jc w:val="right"/>
        </w:trPr>
        <w:tc>
          <w:tcPr>
            <w:tcW w:w="697" w:type="dxa"/>
            <w:tcBorders>
              <w:top w:val="single" w:sz="4" w:space="0" w:color="auto"/>
              <w:bottom w:val="single" w:sz="4" w:space="0" w:color="auto"/>
            </w:tcBorders>
            <w:vAlign w:val="center"/>
          </w:tcPr>
          <w:p w:rsidR="00BB44D1" w:rsidRPr="00BB44D1" w:rsidRDefault="00BB44D1" w:rsidP="00BB44D1">
            <w:pPr>
              <w:numPr>
                <w:ilvl w:val="0"/>
                <w:numId w:val="14"/>
              </w:numPr>
              <w:autoSpaceDE w:val="0"/>
              <w:autoSpaceDN w:val="0"/>
              <w:adjustRightInd w:val="0"/>
              <w:ind w:left="0" w:firstLine="0"/>
              <w:jc w:val="both"/>
              <w:rPr>
                <w:rFonts w:ascii="Arial" w:hAnsi="Arial" w:cs="Arial"/>
                <w:bCs/>
                <w:sz w:val="16"/>
                <w:szCs w:val="16"/>
              </w:rPr>
            </w:pPr>
          </w:p>
        </w:tc>
        <w:tc>
          <w:tcPr>
            <w:tcW w:w="6471" w:type="dxa"/>
            <w:tcBorders>
              <w:top w:val="single" w:sz="4" w:space="0" w:color="auto"/>
              <w:bottom w:val="single" w:sz="4" w:space="0" w:color="auto"/>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Ressarcir o órgão por eventuais danos causados por sua culpa, em veículos, equipamentos, dados, etc.</w:t>
            </w:r>
          </w:p>
        </w:tc>
        <w:tc>
          <w:tcPr>
            <w:tcW w:w="926" w:type="dxa"/>
            <w:tcBorders>
              <w:bottom w:val="single" w:sz="4" w:space="0" w:color="auto"/>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02</w:t>
            </w:r>
          </w:p>
        </w:tc>
        <w:tc>
          <w:tcPr>
            <w:tcW w:w="1438" w:type="dxa"/>
            <w:tcBorders>
              <w:bottom w:val="single" w:sz="4" w:space="0" w:color="auto"/>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0,4% por dia</w:t>
            </w:r>
          </w:p>
        </w:tc>
      </w:tr>
      <w:tr w:rsidR="00BB44D1" w:rsidRPr="00BB44D1" w:rsidTr="00BB44D1">
        <w:trPr>
          <w:trHeight w:val="219"/>
          <w:jc w:val="right"/>
        </w:trPr>
        <w:tc>
          <w:tcPr>
            <w:tcW w:w="697" w:type="dxa"/>
            <w:tcBorders>
              <w:top w:val="single" w:sz="4" w:space="0" w:color="auto"/>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4" w:space="0" w:color="auto"/>
              <w:bottom w:val="single" w:sz="8" w:space="0" w:color="000000"/>
            </w:tcBorders>
            <w:vAlign w:val="center"/>
          </w:tcPr>
          <w:p w:rsidR="00BB44D1" w:rsidRPr="00BB44D1" w:rsidRDefault="00BB44D1" w:rsidP="00BB44D1">
            <w:pPr>
              <w:autoSpaceDE w:val="0"/>
              <w:autoSpaceDN w:val="0"/>
              <w:adjustRightInd w:val="0"/>
              <w:jc w:val="both"/>
              <w:rPr>
                <w:rFonts w:ascii="Arial" w:hAnsi="Arial" w:cs="Arial"/>
                <w:sz w:val="16"/>
                <w:szCs w:val="16"/>
              </w:rPr>
            </w:pPr>
            <w:r w:rsidRPr="00BB44D1">
              <w:rPr>
                <w:rFonts w:ascii="Arial" w:hAnsi="Arial" w:cs="Arial"/>
                <w:sz w:val="16"/>
                <w:szCs w:val="16"/>
              </w:rPr>
              <w:t>Manter a documentação de habilitação atualizada; por serviço.</w:t>
            </w:r>
          </w:p>
        </w:tc>
        <w:tc>
          <w:tcPr>
            <w:tcW w:w="926" w:type="dxa"/>
            <w:tcBorders>
              <w:top w:val="single" w:sz="4" w:space="0" w:color="auto"/>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01</w:t>
            </w:r>
          </w:p>
        </w:tc>
        <w:tc>
          <w:tcPr>
            <w:tcW w:w="1438" w:type="dxa"/>
            <w:tcBorders>
              <w:top w:val="single" w:sz="4" w:space="0" w:color="auto"/>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0,2% por dia</w:t>
            </w:r>
          </w:p>
        </w:tc>
      </w:tr>
      <w:tr w:rsidR="00BB44D1" w:rsidRPr="00BB44D1" w:rsidTr="00BB44D1">
        <w:trPr>
          <w:jc w:val="right"/>
        </w:trPr>
        <w:tc>
          <w:tcPr>
            <w:tcW w:w="697" w:type="dxa"/>
            <w:tcBorders>
              <w:top w:val="single" w:sz="8" w:space="0" w:color="000000"/>
              <w:left w:val="single" w:sz="8" w:space="0" w:color="000000"/>
              <w:bottom w:val="single" w:sz="8" w:space="0" w:color="000000"/>
            </w:tcBorders>
            <w:vAlign w:val="center"/>
          </w:tcPr>
          <w:p w:rsidR="00BB44D1" w:rsidRPr="00BB44D1" w:rsidRDefault="00BB44D1" w:rsidP="00BB44D1">
            <w:pPr>
              <w:numPr>
                <w:ilvl w:val="0"/>
                <w:numId w:val="14"/>
              </w:numPr>
              <w:autoSpaceDE w:val="0"/>
              <w:autoSpaceDN w:val="0"/>
              <w:adjustRightInd w:val="0"/>
              <w:ind w:left="0" w:firstLine="0"/>
              <w:jc w:val="center"/>
              <w:rPr>
                <w:rFonts w:ascii="Arial" w:hAnsi="Arial" w:cs="Arial"/>
                <w:bCs/>
                <w:sz w:val="16"/>
                <w:szCs w:val="16"/>
              </w:rPr>
            </w:pPr>
          </w:p>
        </w:tc>
        <w:tc>
          <w:tcPr>
            <w:tcW w:w="6471"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both"/>
              <w:rPr>
                <w:rFonts w:ascii="Arial" w:hAnsi="Arial" w:cs="Arial"/>
                <w:i/>
                <w:color w:val="FF0000"/>
                <w:sz w:val="16"/>
                <w:szCs w:val="16"/>
              </w:rPr>
            </w:pPr>
            <w:r w:rsidRPr="00BB44D1">
              <w:rPr>
                <w:rFonts w:ascii="Arial" w:hAnsi="Arial" w:cs="Arial"/>
                <w:sz w:val="16"/>
                <w:szCs w:val="16"/>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01</w:t>
            </w:r>
          </w:p>
        </w:tc>
        <w:tc>
          <w:tcPr>
            <w:tcW w:w="1438" w:type="dxa"/>
            <w:tcBorders>
              <w:top w:val="single" w:sz="8" w:space="0" w:color="000000"/>
              <w:bottom w:val="single" w:sz="8" w:space="0" w:color="000000"/>
              <w:right w:val="single" w:sz="8" w:space="0" w:color="000000"/>
            </w:tcBorders>
            <w:vAlign w:val="center"/>
          </w:tcPr>
          <w:p w:rsidR="00BB44D1" w:rsidRPr="00BB44D1" w:rsidRDefault="00BB44D1" w:rsidP="00BB44D1">
            <w:pPr>
              <w:autoSpaceDE w:val="0"/>
              <w:autoSpaceDN w:val="0"/>
              <w:adjustRightInd w:val="0"/>
              <w:jc w:val="center"/>
              <w:rPr>
                <w:rFonts w:ascii="Arial" w:hAnsi="Arial" w:cs="Arial"/>
                <w:bCs/>
                <w:sz w:val="16"/>
                <w:szCs w:val="16"/>
              </w:rPr>
            </w:pPr>
            <w:r w:rsidRPr="00BB44D1">
              <w:rPr>
                <w:rFonts w:ascii="Arial" w:hAnsi="Arial" w:cs="Arial"/>
                <w:bCs/>
                <w:sz w:val="16"/>
                <w:szCs w:val="16"/>
              </w:rPr>
              <w:t>0,2% por dia</w:t>
            </w:r>
          </w:p>
        </w:tc>
      </w:tr>
    </w:tbl>
    <w:p w:rsidR="00BB44D1" w:rsidRPr="00BB44D1" w:rsidRDefault="00BB44D1" w:rsidP="00BB44D1">
      <w:pPr>
        <w:autoSpaceDE w:val="0"/>
        <w:autoSpaceDN w:val="0"/>
        <w:adjustRightInd w:val="0"/>
        <w:ind w:firstLine="426"/>
        <w:jc w:val="both"/>
        <w:rPr>
          <w:rFonts w:ascii="Arial" w:hAnsi="Arial" w:cs="Arial"/>
          <w:bCs/>
          <w:sz w:val="16"/>
          <w:szCs w:val="16"/>
        </w:rPr>
      </w:pP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9.12 - As sanções aqui previstas poderão ser aplicadas concomitantemente, facultada a defesa prévia do interessado, no respectivo processo, no prazo de 05 (cinco) dias úteis.</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9.13 - Após 30 (trinta) dias da falta de execução do objeto, será considerada inexecução total do contrato, o que ensejará a rescisão contratual.</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 xml:space="preserve">9.14 - As sanções de natureza pecuniária serão diretamente descontadas de créditos que eventualmente detenha a </w:t>
      </w:r>
      <w:r w:rsidRPr="00BB44D1">
        <w:rPr>
          <w:rFonts w:ascii="Arial" w:hAnsi="Arial" w:cs="Arial"/>
          <w:bCs/>
          <w:sz w:val="16"/>
          <w:szCs w:val="16"/>
        </w:rPr>
        <w:t xml:space="preserve">CONTRATADA </w:t>
      </w:r>
      <w:r w:rsidRPr="00BB44D1">
        <w:rPr>
          <w:rFonts w:ascii="Arial" w:hAnsi="Arial" w:cs="Arial"/>
          <w:sz w:val="16"/>
          <w:szCs w:val="16"/>
        </w:rPr>
        <w:t>ou efetuada a sua cobrança na forma prevista em lei.</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9.16 - A autoridade competente, na aplicação das sanções, levará em consideração a gravidade da conduta do infrator, o caráter educativo da pena, bem como o dano causado à Administração, observado o princípio da proporcionalidade.</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9.17 - A sanção será obrigatoriamente registrada no Sistema de Cadastramento Unificado de Fornecedores – SICAF, bem como em sistemas Estaduais.</w:t>
      </w:r>
    </w:p>
    <w:p w:rsidR="00BB44D1" w:rsidRPr="00BB44D1" w:rsidRDefault="00BB44D1" w:rsidP="00BB44D1">
      <w:pPr>
        <w:pStyle w:val="SemEspaamento2"/>
        <w:tabs>
          <w:tab w:val="left" w:pos="426"/>
        </w:tabs>
        <w:suppressAutoHyphens/>
        <w:jc w:val="both"/>
        <w:rPr>
          <w:rFonts w:ascii="Arial" w:hAnsi="Arial" w:cs="Arial"/>
          <w:sz w:val="16"/>
          <w:szCs w:val="16"/>
        </w:rPr>
      </w:pPr>
      <w:r w:rsidRPr="00BB44D1">
        <w:rPr>
          <w:rFonts w:ascii="Arial" w:hAnsi="Arial" w:cs="Arial"/>
          <w:sz w:val="16"/>
          <w:szCs w:val="16"/>
        </w:rPr>
        <w:t>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44D1" w:rsidRPr="00BB44D1" w:rsidRDefault="00BB44D1" w:rsidP="00BB44D1">
      <w:pPr>
        <w:jc w:val="both"/>
        <w:rPr>
          <w:rFonts w:ascii="Arial" w:hAnsi="Arial" w:cs="Arial"/>
          <w:sz w:val="16"/>
          <w:szCs w:val="16"/>
        </w:rPr>
      </w:pPr>
      <w:r w:rsidRPr="00BB44D1">
        <w:rPr>
          <w:rFonts w:ascii="Arial" w:hAnsi="Arial" w:cs="Arial"/>
          <w:sz w:val="16"/>
          <w:szCs w:val="16"/>
        </w:rPr>
        <w:t>a) Tenham sofrido condenações definitivas por praticarem, por meio dolosos, fraude fiscal no recolhimento de tributos;</w:t>
      </w:r>
    </w:p>
    <w:p w:rsidR="00BB44D1" w:rsidRPr="00BB44D1" w:rsidRDefault="00BB44D1" w:rsidP="00BB44D1">
      <w:pPr>
        <w:jc w:val="both"/>
        <w:rPr>
          <w:rFonts w:ascii="Arial" w:hAnsi="Arial" w:cs="Arial"/>
          <w:sz w:val="16"/>
          <w:szCs w:val="16"/>
        </w:rPr>
      </w:pPr>
      <w:r w:rsidRPr="00BB44D1">
        <w:rPr>
          <w:rFonts w:ascii="Arial" w:hAnsi="Arial" w:cs="Arial"/>
          <w:sz w:val="16"/>
          <w:szCs w:val="16"/>
        </w:rPr>
        <w:t>b) Tenham praticado atos ilícitos visando a frustrar os objetivos da licitação;</w:t>
      </w:r>
    </w:p>
    <w:p w:rsidR="00BB44D1" w:rsidRPr="00BB44D1" w:rsidRDefault="00BB44D1" w:rsidP="00BB44D1">
      <w:pPr>
        <w:jc w:val="both"/>
        <w:rPr>
          <w:rFonts w:ascii="Arial" w:hAnsi="Arial" w:cs="Arial"/>
          <w:sz w:val="16"/>
          <w:szCs w:val="16"/>
        </w:rPr>
      </w:pPr>
      <w:r w:rsidRPr="00BB44D1">
        <w:rPr>
          <w:rFonts w:ascii="Arial" w:hAnsi="Arial" w:cs="Arial"/>
          <w:sz w:val="16"/>
          <w:szCs w:val="16"/>
        </w:rPr>
        <w:t>c) Demonstrem não possuir idoneidade para contratar com a Administração em virtude de atos ilícitos praticados.</w:t>
      </w:r>
    </w:p>
    <w:p w:rsidR="004151FF" w:rsidRPr="00BB44D1" w:rsidRDefault="004151FF" w:rsidP="00BB44D1">
      <w:pPr>
        <w:pStyle w:val="PargrafodaLista"/>
        <w:ind w:left="360"/>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w:t>
      </w:r>
      <w:proofErr w:type="gramStart"/>
      <w:r w:rsidRPr="0011594B">
        <w:rPr>
          <w:rFonts w:ascii="Arial" w:hAnsi="Arial" w:cs="Arial"/>
          <w:sz w:val="16"/>
          <w:szCs w:val="16"/>
        </w:rPr>
        <w:t>a</w:t>
      </w:r>
      <w:proofErr w:type="gramEnd"/>
      <w:r w:rsidRPr="0011594B">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lastRenderedPageBreak/>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BB44D1" w:rsidRPr="00E3755C" w:rsidRDefault="00BB44D1" w:rsidP="00BB44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E3755C">
        <w:rPr>
          <w:rFonts w:ascii="Arial" w:hAnsi="Arial" w:cs="Arial"/>
          <w:b/>
          <w:bCs/>
          <w:sz w:val="16"/>
          <w:szCs w:val="16"/>
        </w:rPr>
        <w:t>FUNESBOM</w:t>
      </w:r>
      <w:r w:rsidRPr="00E3755C">
        <w:rPr>
          <w:rFonts w:ascii="Arial" w:hAnsi="Arial" w:cs="Arial"/>
          <w:b/>
          <w:sz w:val="16"/>
          <w:szCs w:val="16"/>
        </w:rPr>
        <w:t xml:space="preserve"> –</w:t>
      </w:r>
      <w:r w:rsidRPr="00E3755C">
        <w:rPr>
          <w:rFonts w:ascii="Arial" w:hAnsi="Arial" w:cs="Arial"/>
          <w:sz w:val="16"/>
          <w:szCs w:val="16"/>
        </w:rPr>
        <w:t xml:space="preserve"> </w:t>
      </w:r>
      <w:r w:rsidRPr="00E3755C">
        <w:rPr>
          <w:rFonts w:ascii="Arial" w:hAnsi="Arial" w:cs="Arial"/>
          <w:bCs/>
          <w:sz w:val="16"/>
          <w:szCs w:val="16"/>
        </w:rPr>
        <w:t>Fundo Especial do Corpo de Bombeiros</w:t>
      </w:r>
      <w:r w:rsidRPr="00E3755C">
        <w:rPr>
          <w:rFonts w:ascii="Arial" w:hAnsi="Arial" w:cs="Arial"/>
          <w:sz w:val="16"/>
          <w:szCs w:val="16"/>
        </w:rPr>
        <w:t>.</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3C7F1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4D1" w:rsidRDefault="00BB44D1">
      <w:r>
        <w:separator/>
      </w:r>
    </w:p>
  </w:endnote>
  <w:endnote w:type="continuationSeparator" w:id="0">
    <w:p w:rsidR="00BB44D1" w:rsidRDefault="00BB4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4D1" w:rsidRDefault="00BB44D1">
      <w:r>
        <w:separator/>
      </w:r>
    </w:p>
  </w:footnote>
  <w:footnote w:type="continuationSeparator" w:id="0">
    <w:p w:rsidR="00BB44D1" w:rsidRDefault="00BB4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4D1" w:rsidRDefault="00BB44D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8"/>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4"/>
  </w:num>
  <w:num w:numId="17">
    <w:abstractNumId w:val="23"/>
  </w:num>
  <w:num w:numId="18">
    <w:abstractNumId w:val="40"/>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7"/>
  </w:num>
  <w:num w:numId="36">
    <w:abstractNumId w:val="5"/>
  </w:num>
  <w:num w:numId="37">
    <w:abstractNumId w:val="14"/>
  </w:num>
  <w:num w:numId="38">
    <w:abstractNumId w:val="26"/>
  </w:num>
  <w:num w:numId="39">
    <w:abstractNumId w:val="11"/>
  </w:num>
  <w:num w:numId="40">
    <w:abstractNumId w:val="30"/>
  </w:num>
  <w:num w:numId="41">
    <w:abstractNumId w:val="42"/>
  </w:num>
  <w:num w:numId="42">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8F3"/>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575F"/>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4D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customStyle="1" w:styleId="SemEspaamento2">
    <w:name w:val="Sem Espaçamento2"/>
    <w:qFormat/>
    <w:rsid w:val="00BB44D1"/>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4ADA2-A152-4AE4-AF56-74DFFDA9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3194</Words>
  <Characters>17645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2017-05-12T13:39:00Z</cp:lastPrinted>
  <dcterms:created xsi:type="dcterms:W3CDTF">2017-05-25T12:52:00Z</dcterms:created>
  <dcterms:modified xsi:type="dcterms:W3CDTF">2017-06-02T12:43:00Z</dcterms:modified>
</cp:coreProperties>
</file>