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DF4AF8" w:rsidRPr="00DF4AF8">
        <w:rPr>
          <w:rFonts w:ascii="Arial" w:hAnsi="Arial" w:cs="Arial"/>
          <w:sz w:val="16"/>
          <w:szCs w:val="16"/>
        </w:rPr>
        <w:t>009</w:t>
      </w:r>
      <w:r w:rsidR="008C7613" w:rsidRPr="00DF4AF8">
        <w:rPr>
          <w:rFonts w:ascii="Arial" w:hAnsi="Arial" w:cs="Arial"/>
          <w:sz w:val="16"/>
          <w:szCs w:val="16"/>
        </w:rPr>
        <w:t>/201</w:t>
      </w:r>
      <w:r w:rsidR="00DF4AF8" w:rsidRPr="00DF4AF8">
        <w:rPr>
          <w:rFonts w:ascii="Arial" w:hAnsi="Arial" w:cs="Arial"/>
          <w:sz w:val="16"/>
          <w:szCs w:val="16"/>
        </w:rPr>
        <w:t>7</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Nº 393</w:t>
      </w:r>
      <w:r w:rsidR="00E41C2D" w:rsidRPr="00DF4AF8">
        <w:rPr>
          <w:rFonts w:ascii="Arial" w:hAnsi="Arial" w:cs="Arial"/>
          <w:bCs/>
          <w:sz w:val="16"/>
          <w:szCs w:val="16"/>
        </w:rPr>
        <w:t>/2016</w:t>
      </w:r>
    </w:p>
    <w:p w:rsidR="000F74A8" w:rsidRPr="00E85024" w:rsidRDefault="009D2314" w:rsidP="009D2314">
      <w:pPr>
        <w:jc w:val="both"/>
        <w:rPr>
          <w:rFonts w:ascii="Arial" w:hAnsi="Arial" w:cs="Arial"/>
          <w:sz w:val="16"/>
          <w:szCs w:val="16"/>
        </w:rPr>
      </w:pPr>
      <w:r w:rsidRPr="00E85024">
        <w:rPr>
          <w:rFonts w:ascii="Arial" w:hAnsi="Arial" w:cs="Arial"/>
          <w:b/>
          <w:bCs/>
          <w:sz w:val="16"/>
          <w:szCs w:val="16"/>
        </w:rPr>
        <w:t xml:space="preserve">PROCESSO: </w:t>
      </w:r>
      <w:r w:rsidR="00E85024" w:rsidRPr="00E85024">
        <w:rPr>
          <w:rFonts w:ascii="Arial" w:hAnsi="Arial" w:cs="Arial"/>
          <w:noProof/>
          <w:sz w:val="16"/>
          <w:szCs w:val="16"/>
        </w:rPr>
        <w:t>01.</w:t>
      </w:r>
      <w:r w:rsidR="00DF4AF8">
        <w:rPr>
          <w:rFonts w:ascii="Arial" w:hAnsi="Arial" w:cs="Arial"/>
          <w:noProof/>
          <w:sz w:val="16"/>
          <w:szCs w:val="16"/>
        </w:rPr>
        <w:t>2601.00074</w:t>
      </w:r>
      <w:r w:rsidR="00E85024" w:rsidRPr="00E85024">
        <w:rPr>
          <w:rFonts w:ascii="Arial" w:hAnsi="Arial" w:cs="Arial"/>
          <w:noProof/>
          <w:sz w:val="16"/>
          <w:szCs w:val="16"/>
        </w:rPr>
        <w:t>-00/2015</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 xml:space="preserve">O </w:t>
      </w:r>
      <w:r w:rsidR="00DF4AF8" w:rsidRPr="00DF4AF8">
        <w:rPr>
          <w:rFonts w:ascii="Arial" w:hAnsi="Arial" w:cs="Arial"/>
          <w:color w:val="000000"/>
          <w:sz w:val="16"/>
          <w:szCs w:val="16"/>
        </w:rPr>
        <w:t xml:space="preserve">para futura contratação de empresa especializada em serviços para provimento de acesso gratuito à internet, em espaços públicos via wireless (rede sem fio), por meio de </w:t>
      </w:r>
      <w:proofErr w:type="spellStart"/>
      <w:r w:rsidR="00DF4AF8" w:rsidRPr="00DF4AF8">
        <w:rPr>
          <w:rFonts w:ascii="Arial" w:hAnsi="Arial" w:cs="Arial"/>
          <w:color w:val="000000"/>
          <w:sz w:val="16"/>
          <w:szCs w:val="16"/>
        </w:rPr>
        <w:t>Hotspot</w:t>
      </w:r>
      <w:proofErr w:type="spellEnd"/>
      <w:r w:rsidR="00DF4AF8" w:rsidRPr="00DF4AF8">
        <w:rPr>
          <w:rFonts w:ascii="Arial" w:hAnsi="Arial" w:cs="Arial"/>
          <w:color w:val="000000"/>
          <w:sz w:val="16"/>
          <w:szCs w:val="16"/>
        </w:rPr>
        <w:t xml:space="preserve"> (indica um lugar onde é possível ter acesso à internet), com fornecimento e instalação de postes e demais acessórios necessários aos serviços, a fim de atender as ações do projeto de inclusão digital do Governo do Estado de Rondônia denominado "Espaços Digitais"</w:t>
      </w:r>
      <w:r w:rsidR="00C93C3C" w:rsidRPr="00DF4AF8">
        <w:rPr>
          <w:rFonts w:ascii="Arial" w:hAnsi="Arial" w:cs="Arial"/>
          <w:color w:val="000000"/>
          <w:sz w:val="16"/>
          <w:szCs w:val="16"/>
        </w:rPr>
        <w:t xml:space="preserve">, a pedido da </w:t>
      </w:r>
      <w:r w:rsidR="00DF4AF8" w:rsidRPr="00DF4AF8">
        <w:rPr>
          <w:rFonts w:ascii="Arial" w:hAnsi="Arial" w:cs="Arial"/>
          <w:color w:val="000000"/>
          <w:sz w:val="16"/>
          <w:szCs w:val="16"/>
        </w:rPr>
        <w:t>Superintendência</w:t>
      </w:r>
      <w:proofErr w:type="gramStart"/>
      <w:r w:rsidR="00DF4AF8" w:rsidRPr="00DF4AF8">
        <w:rPr>
          <w:rFonts w:ascii="Arial" w:hAnsi="Arial" w:cs="Arial"/>
          <w:color w:val="000000"/>
          <w:sz w:val="16"/>
          <w:szCs w:val="16"/>
        </w:rPr>
        <w:t xml:space="preserve"> </w:t>
      </w:r>
      <w:r w:rsidR="0063676F" w:rsidRPr="00DF4AF8">
        <w:rPr>
          <w:rFonts w:ascii="Arial" w:hAnsi="Arial" w:cs="Arial"/>
          <w:color w:val="000000"/>
          <w:sz w:val="16"/>
          <w:szCs w:val="16"/>
        </w:rPr>
        <w:t xml:space="preserve"> </w:t>
      </w:r>
      <w:proofErr w:type="gramEnd"/>
      <w:r w:rsidR="0063676F" w:rsidRPr="00DF4AF8">
        <w:rPr>
          <w:rFonts w:ascii="Arial" w:hAnsi="Arial" w:cs="Arial"/>
          <w:color w:val="000000"/>
          <w:sz w:val="16"/>
          <w:szCs w:val="16"/>
        </w:rPr>
        <w:t>Estad</w:t>
      </w:r>
      <w:r w:rsidR="00DF4AF8" w:rsidRPr="00DF4AF8">
        <w:rPr>
          <w:rFonts w:ascii="Arial" w:hAnsi="Arial" w:cs="Arial"/>
          <w:color w:val="000000"/>
          <w:sz w:val="16"/>
          <w:szCs w:val="16"/>
        </w:rPr>
        <w:t xml:space="preserve">ual de Assuntos Estratégico - </w:t>
      </w:r>
      <w:r w:rsidR="0063676F" w:rsidRPr="00DF4AF8">
        <w:rPr>
          <w:rFonts w:ascii="Arial" w:hAnsi="Arial" w:cs="Arial"/>
          <w:color w:val="000000"/>
          <w:sz w:val="16"/>
          <w:szCs w:val="16"/>
        </w:rPr>
        <w:t>SEA</w:t>
      </w:r>
      <w:r w:rsidR="00DF4AF8" w:rsidRPr="00DF4AF8">
        <w:rPr>
          <w:rFonts w:ascii="Arial" w:hAnsi="Arial" w:cs="Arial"/>
          <w:color w:val="000000"/>
          <w:sz w:val="16"/>
          <w:szCs w:val="16"/>
        </w:rPr>
        <w:t>E</w:t>
      </w:r>
      <w:r w:rsidR="0063676F" w:rsidRPr="00DF4AF8">
        <w:rPr>
          <w:rFonts w:ascii="Arial" w:hAnsi="Arial" w:cs="Arial"/>
          <w:color w:val="000000"/>
          <w:sz w:val="16"/>
          <w:szCs w:val="16"/>
        </w:rPr>
        <w:t>/RO</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Default="002E300A" w:rsidP="008C7613">
      <w:pPr>
        <w:jc w:val="both"/>
        <w:rPr>
          <w:rFonts w:ascii="Arial" w:hAnsi="Arial" w:cs="Arial"/>
          <w:color w:val="000000"/>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DF4AF8" w:rsidRPr="00DF4AF8">
        <w:rPr>
          <w:rFonts w:ascii="Arial" w:hAnsi="Arial" w:cs="Arial"/>
          <w:color w:val="000000"/>
          <w:sz w:val="16"/>
          <w:szCs w:val="16"/>
        </w:rPr>
        <w:t xml:space="preserve">para futura contratação de empresa especializada em serviços para provimento de acesso gratuito à internet, em espaços públicos via wireless (rede sem fio), por meio de </w:t>
      </w:r>
      <w:proofErr w:type="spellStart"/>
      <w:r w:rsidR="00DF4AF8" w:rsidRPr="00DF4AF8">
        <w:rPr>
          <w:rFonts w:ascii="Arial" w:hAnsi="Arial" w:cs="Arial"/>
          <w:color w:val="000000"/>
          <w:sz w:val="16"/>
          <w:szCs w:val="16"/>
        </w:rPr>
        <w:t>Hotspot</w:t>
      </w:r>
      <w:proofErr w:type="spellEnd"/>
      <w:r w:rsidR="00DF4AF8" w:rsidRPr="00DF4AF8">
        <w:rPr>
          <w:rFonts w:ascii="Arial" w:hAnsi="Arial" w:cs="Arial"/>
          <w:color w:val="000000"/>
          <w:sz w:val="16"/>
          <w:szCs w:val="16"/>
        </w:rPr>
        <w:t xml:space="preserve"> (indica um lugar onde é possível ter acesso à internet), com fornecimento e instalação de postes e demais acessórios necessários aos serviços, a fim de atender as ações do projeto de inclusão digital do Governo do Estado de Rondônia denominado "Espaços Digitais</w:t>
      </w:r>
      <w:r w:rsidR="002B52E1">
        <w:rPr>
          <w:rFonts w:ascii="Arial" w:hAnsi="Arial" w:cs="Arial"/>
          <w:color w:val="000000"/>
          <w:sz w:val="16"/>
          <w:szCs w:val="16"/>
        </w:rPr>
        <w:t>", a pedido da Superintendência</w:t>
      </w:r>
      <w:r w:rsidR="00DF4AF8" w:rsidRPr="00DF4AF8">
        <w:rPr>
          <w:rFonts w:ascii="Arial" w:hAnsi="Arial" w:cs="Arial"/>
          <w:color w:val="000000"/>
          <w:sz w:val="16"/>
          <w:szCs w:val="16"/>
        </w:rPr>
        <w:t xml:space="preserve"> Estadual de Assuntos Estratégico - SEAE/RO</w:t>
      </w:r>
      <w:r w:rsidR="00DF4AF8">
        <w:rPr>
          <w:rFonts w:ascii="Arial" w:hAnsi="Arial" w:cs="Arial"/>
          <w:color w:val="000000"/>
          <w:sz w:val="16"/>
          <w:szCs w:val="16"/>
        </w:rPr>
        <w:t>.</w:t>
      </w:r>
    </w:p>
    <w:p w:rsidR="00DF4AF8" w:rsidRDefault="00DF4AF8" w:rsidP="008C7613">
      <w:pPr>
        <w:jc w:val="both"/>
        <w:rPr>
          <w:rFonts w:ascii="Arial" w:hAnsi="Arial" w:cs="Arial"/>
          <w:kern w:val="36"/>
          <w:sz w:val="16"/>
          <w:szCs w:val="16"/>
        </w:rPr>
      </w:pPr>
    </w:p>
    <w:p w:rsidR="009055CB" w:rsidRPr="0093086D" w:rsidRDefault="009055CB"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055CB" w:rsidRPr="009055CB" w:rsidRDefault="009055CB" w:rsidP="009055CB">
      <w:pPr>
        <w:pStyle w:val="PargrafodaLista"/>
        <w:ind w:left="360"/>
        <w:jc w:val="both"/>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r w:rsidR="009055CB">
        <w:rPr>
          <w:rFonts w:ascii="Arial" w:hAnsi="Arial" w:cs="Arial"/>
          <w:b/>
          <w:bCs/>
          <w:sz w:val="16"/>
          <w:szCs w:val="16"/>
        </w:rPr>
        <w:t>:</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DF4AF8" w:rsidRDefault="00DF4AF8" w:rsidP="00DF4AF8">
      <w:pPr>
        <w:pStyle w:val="Corpodetexto3"/>
        <w:tabs>
          <w:tab w:val="left" w:pos="900"/>
        </w:tabs>
        <w:ind w:left="360" w:right="47"/>
        <w:rPr>
          <w:rFonts w:ascii="Arial" w:hAnsi="Arial" w:cs="Arial"/>
          <w:sz w:val="16"/>
          <w:szCs w:val="16"/>
        </w:rPr>
      </w:pPr>
    </w:p>
    <w:p w:rsidR="00DF4AF8" w:rsidRDefault="00DF4AF8" w:rsidP="00DF4AF8">
      <w:pPr>
        <w:pStyle w:val="Corpodetexto3"/>
        <w:numPr>
          <w:ilvl w:val="1"/>
          <w:numId w:val="2"/>
        </w:numPr>
        <w:tabs>
          <w:tab w:val="left" w:pos="900"/>
        </w:tabs>
        <w:ind w:right="47"/>
        <w:rPr>
          <w:rFonts w:ascii="Arial" w:hAnsi="Arial" w:cs="Arial"/>
          <w:sz w:val="16"/>
          <w:szCs w:val="16"/>
        </w:rPr>
      </w:pPr>
      <w:r w:rsidRPr="00DF4AF8">
        <w:rPr>
          <w:rFonts w:ascii="Arial" w:hAnsi="Arial" w:cs="Arial"/>
          <w:b/>
          <w:sz w:val="16"/>
          <w:szCs w:val="16"/>
        </w:rPr>
        <w:t>DO PRAZO DE ENTREGA:</w:t>
      </w:r>
      <w:r w:rsidRPr="00DF4AF8">
        <w:rPr>
          <w:rFonts w:ascii="Arial" w:hAnsi="Arial" w:cs="Arial"/>
          <w:sz w:val="16"/>
          <w:szCs w:val="16"/>
        </w:rPr>
        <w:t xml:space="preserve"> O prazo de entrega dos bens é de 30 (trinta) dias, contados da comunicação por escrito da contratada, em remessa única, nos endereços constantes </w:t>
      </w:r>
      <w:r w:rsidR="00CE42C7">
        <w:rPr>
          <w:rFonts w:ascii="Arial" w:hAnsi="Arial" w:cs="Arial"/>
          <w:sz w:val="16"/>
          <w:szCs w:val="16"/>
        </w:rPr>
        <w:t>abaixo:</w:t>
      </w:r>
    </w:p>
    <w:p w:rsidR="00CE42C7" w:rsidRDefault="00CE42C7" w:rsidP="00CE42C7">
      <w:pPr>
        <w:pStyle w:val="PargrafodaLista"/>
        <w:rPr>
          <w:rFonts w:ascii="Arial" w:hAnsi="Arial" w:cs="Arial"/>
          <w:sz w:val="16"/>
          <w:szCs w:val="16"/>
        </w:rPr>
      </w:pPr>
    </w:p>
    <w:p w:rsidR="00CE42C7" w:rsidRPr="00CE42C7" w:rsidRDefault="00CE42C7" w:rsidP="00CE42C7">
      <w:pPr>
        <w:pStyle w:val="Corpodetexto3"/>
        <w:numPr>
          <w:ilvl w:val="1"/>
          <w:numId w:val="2"/>
        </w:numPr>
        <w:tabs>
          <w:tab w:val="left" w:pos="900"/>
        </w:tabs>
        <w:ind w:right="47"/>
        <w:rPr>
          <w:rFonts w:ascii="Arial" w:hAnsi="Arial" w:cs="Arial"/>
          <w:sz w:val="16"/>
          <w:szCs w:val="16"/>
        </w:rPr>
      </w:pPr>
      <w:r>
        <w:rPr>
          <w:rFonts w:ascii="Arial" w:hAnsi="Arial" w:cs="Arial"/>
          <w:b/>
          <w:sz w:val="16"/>
          <w:szCs w:val="16"/>
        </w:rPr>
        <w:t xml:space="preserve">DO </w:t>
      </w:r>
      <w:r w:rsidRPr="00DF4AF8">
        <w:rPr>
          <w:rFonts w:ascii="Arial" w:hAnsi="Arial" w:cs="Arial"/>
          <w:b/>
          <w:sz w:val="16"/>
          <w:szCs w:val="16"/>
        </w:rPr>
        <w:t>LOCAL DE ENTREGA</w:t>
      </w:r>
      <w:r>
        <w:rPr>
          <w:rFonts w:ascii="Arial" w:hAnsi="Arial" w:cs="Arial"/>
          <w:b/>
          <w:sz w:val="16"/>
          <w:szCs w:val="16"/>
        </w:rPr>
        <w:t xml:space="preserve">, </w:t>
      </w:r>
      <w:proofErr w:type="gramStart"/>
      <w:r w:rsidRPr="00CE42C7">
        <w:rPr>
          <w:rFonts w:ascii="Arial" w:hAnsi="Arial" w:cs="Arial"/>
          <w:b/>
          <w:sz w:val="16"/>
          <w:szCs w:val="16"/>
        </w:rPr>
        <w:t>ENDEREÇOS</w:t>
      </w:r>
      <w:proofErr w:type="gramEnd"/>
      <w:r w:rsidRPr="00CE42C7">
        <w:rPr>
          <w:rFonts w:ascii="Arial" w:hAnsi="Arial" w:cs="Arial"/>
          <w:b/>
          <w:sz w:val="16"/>
          <w:szCs w:val="16"/>
        </w:rPr>
        <w:t xml:space="preserve"> </w:t>
      </w:r>
    </w:p>
    <w:tbl>
      <w:tblPr>
        <w:tblW w:w="5000" w:type="pct"/>
        <w:tblLayout w:type="fixed"/>
        <w:tblCellMar>
          <w:left w:w="70" w:type="dxa"/>
          <w:right w:w="70" w:type="dxa"/>
        </w:tblCellMar>
        <w:tblLook w:val="04A0"/>
      </w:tblPr>
      <w:tblGrid>
        <w:gridCol w:w="1080"/>
        <w:gridCol w:w="1236"/>
        <w:gridCol w:w="1646"/>
        <w:gridCol w:w="2261"/>
        <w:gridCol w:w="1029"/>
        <w:gridCol w:w="1232"/>
        <w:gridCol w:w="616"/>
        <w:gridCol w:w="822"/>
        <w:gridCol w:w="1161"/>
      </w:tblGrid>
      <w:tr w:rsidR="00CE42C7" w:rsidRPr="00CE42C7" w:rsidTr="00CE42C7">
        <w:trPr>
          <w:trHeight w:val="918"/>
        </w:trPr>
        <w:tc>
          <w:tcPr>
            <w:tcW w:w="487" w:type="pct"/>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proofErr w:type="spellStart"/>
            <w:r w:rsidRPr="00CE42C7">
              <w:rPr>
                <w:rFonts w:ascii="Arial" w:hAnsi="Arial" w:cs="Arial"/>
                <w:b/>
                <w:bCs/>
                <w:color w:val="000000"/>
                <w:sz w:val="16"/>
                <w:szCs w:val="16"/>
              </w:rPr>
              <w:t>Cod</w:t>
            </w:r>
            <w:proofErr w:type="spellEnd"/>
            <w:r w:rsidRPr="00CE42C7">
              <w:rPr>
                <w:rFonts w:ascii="Arial" w:hAnsi="Arial" w:cs="Arial"/>
                <w:b/>
                <w:bCs/>
                <w:color w:val="000000"/>
                <w:sz w:val="16"/>
                <w:szCs w:val="16"/>
              </w:rPr>
              <w:t xml:space="preserve">. </w:t>
            </w:r>
            <w:proofErr w:type="spellStart"/>
            <w:r w:rsidRPr="00CE42C7">
              <w:rPr>
                <w:rFonts w:ascii="Arial" w:hAnsi="Arial" w:cs="Arial"/>
                <w:b/>
                <w:bCs/>
                <w:color w:val="000000"/>
                <w:sz w:val="16"/>
                <w:szCs w:val="16"/>
              </w:rPr>
              <w:t>Municipio</w:t>
            </w:r>
            <w:proofErr w:type="spellEnd"/>
            <w:r w:rsidRPr="00CE42C7">
              <w:rPr>
                <w:rFonts w:ascii="Arial" w:hAnsi="Arial" w:cs="Arial"/>
                <w:b/>
                <w:bCs/>
                <w:color w:val="000000"/>
                <w:sz w:val="16"/>
                <w:szCs w:val="16"/>
              </w:rPr>
              <w:t xml:space="preserve"> IBGE</w:t>
            </w:r>
          </w:p>
        </w:tc>
        <w:tc>
          <w:tcPr>
            <w:tcW w:w="557"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Município</w:t>
            </w:r>
          </w:p>
        </w:tc>
        <w:tc>
          <w:tcPr>
            <w:tcW w:w="742"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Praça</w:t>
            </w:r>
          </w:p>
        </w:tc>
        <w:tc>
          <w:tcPr>
            <w:tcW w:w="1020"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Logradouro</w:t>
            </w:r>
          </w:p>
        </w:tc>
        <w:tc>
          <w:tcPr>
            <w:tcW w:w="464"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Latitude</w:t>
            </w:r>
          </w:p>
        </w:tc>
        <w:tc>
          <w:tcPr>
            <w:tcW w:w="556"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Longitude</w:t>
            </w:r>
          </w:p>
        </w:tc>
        <w:tc>
          <w:tcPr>
            <w:tcW w:w="278"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Raio (</w:t>
            </w:r>
            <w:proofErr w:type="spellStart"/>
            <w:proofErr w:type="gramStart"/>
            <w:r w:rsidRPr="00CE42C7">
              <w:rPr>
                <w:rFonts w:ascii="Arial" w:hAnsi="Arial" w:cs="Arial"/>
                <w:b/>
                <w:bCs/>
                <w:color w:val="000000"/>
                <w:sz w:val="16"/>
                <w:szCs w:val="16"/>
              </w:rPr>
              <w:t>Mt</w:t>
            </w:r>
            <w:proofErr w:type="spellEnd"/>
            <w:proofErr w:type="gramEnd"/>
            <w:r w:rsidRPr="00CE42C7">
              <w:rPr>
                <w:rFonts w:ascii="Arial" w:hAnsi="Arial" w:cs="Arial"/>
                <w:b/>
                <w:bCs/>
                <w:color w:val="000000"/>
                <w:sz w:val="16"/>
                <w:szCs w:val="16"/>
              </w:rPr>
              <w:t>)</w:t>
            </w:r>
          </w:p>
        </w:tc>
        <w:tc>
          <w:tcPr>
            <w:tcW w:w="371" w:type="pct"/>
            <w:tcBorders>
              <w:top w:val="single" w:sz="4" w:space="0" w:color="auto"/>
              <w:left w:val="nil"/>
              <w:bottom w:val="single" w:sz="4" w:space="0" w:color="auto"/>
              <w:right w:val="single" w:sz="4" w:space="0" w:color="auto"/>
            </w:tcBorders>
            <w:shd w:val="clear" w:color="000000" w:fill="D8E4BC"/>
            <w:noWrap/>
            <w:vAlign w:val="bottom"/>
            <w:hideMark/>
          </w:tcPr>
          <w:p w:rsidR="00CE42C7" w:rsidRPr="00CE42C7" w:rsidRDefault="00CE42C7" w:rsidP="00CE42C7">
            <w:pPr>
              <w:rPr>
                <w:rFonts w:ascii="Arial" w:hAnsi="Arial" w:cs="Arial"/>
                <w:b/>
                <w:bCs/>
                <w:color w:val="000000"/>
                <w:sz w:val="16"/>
                <w:szCs w:val="16"/>
              </w:rPr>
            </w:pPr>
            <w:r w:rsidRPr="00CE42C7">
              <w:rPr>
                <w:rFonts w:ascii="Arial" w:hAnsi="Arial" w:cs="Arial"/>
                <w:b/>
                <w:bCs/>
                <w:color w:val="000000"/>
                <w:sz w:val="16"/>
                <w:szCs w:val="16"/>
              </w:rPr>
              <w:t xml:space="preserve">Velocidade </w:t>
            </w:r>
          </w:p>
        </w:tc>
        <w:tc>
          <w:tcPr>
            <w:tcW w:w="524" w:type="pct"/>
            <w:tcBorders>
              <w:top w:val="single" w:sz="4" w:space="0" w:color="auto"/>
              <w:left w:val="nil"/>
              <w:bottom w:val="single" w:sz="4" w:space="0" w:color="auto"/>
              <w:right w:val="single" w:sz="4" w:space="0" w:color="auto"/>
            </w:tcBorders>
            <w:shd w:val="clear" w:color="000000" w:fill="D8E4BC"/>
            <w:vAlign w:val="bottom"/>
          </w:tcPr>
          <w:p w:rsidR="00CE42C7" w:rsidRPr="00CE42C7" w:rsidRDefault="00CE42C7" w:rsidP="00CE42C7">
            <w:pPr>
              <w:ind w:right="664"/>
              <w:jc w:val="center"/>
              <w:rPr>
                <w:rFonts w:ascii="Arial" w:hAnsi="Arial" w:cs="Arial"/>
                <w:b/>
                <w:bCs/>
                <w:color w:val="000000"/>
                <w:sz w:val="16"/>
                <w:szCs w:val="16"/>
              </w:rPr>
            </w:pPr>
            <w:r w:rsidRPr="00CE42C7">
              <w:rPr>
                <w:rFonts w:ascii="Arial" w:hAnsi="Arial" w:cs="Arial"/>
                <w:b/>
                <w:bCs/>
                <w:color w:val="000000"/>
                <w:sz w:val="16"/>
                <w:szCs w:val="16"/>
              </w:rPr>
              <w:t xml:space="preserve">QTD. </w:t>
            </w:r>
            <w:proofErr w:type="gramStart"/>
            <w:r w:rsidRPr="00CE42C7">
              <w:rPr>
                <w:rFonts w:ascii="Arial" w:hAnsi="Arial" w:cs="Arial"/>
                <w:b/>
                <w:bCs/>
                <w:color w:val="000000"/>
                <w:sz w:val="16"/>
                <w:szCs w:val="16"/>
              </w:rPr>
              <w:t>mínima</w:t>
            </w:r>
            <w:proofErr w:type="gramEnd"/>
            <w:r w:rsidRPr="00CE42C7">
              <w:rPr>
                <w:rFonts w:ascii="Arial" w:hAnsi="Arial" w:cs="Arial"/>
                <w:b/>
                <w:bCs/>
                <w:color w:val="000000"/>
                <w:sz w:val="16"/>
                <w:szCs w:val="16"/>
              </w:rPr>
              <w:t xml:space="preserve"> de usuários</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00205</w:t>
            </w:r>
          </w:p>
        </w:tc>
        <w:tc>
          <w:tcPr>
            <w:tcW w:w="557"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Porto Velho I</w:t>
            </w:r>
          </w:p>
        </w:tc>
        <w:tc>
          <w:tcPr>
            <w:tcW w:w="742"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Zona Sul</w:t>
            </w:r>
          </w:p>
        </w:tc>
        <w:tc>
          <w:tcPr>
            <w:tcW w:w="1020"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Tilápia com Rua Mangueira</w:t>
            </w:r>
          </w:p>
        </w:tc>
        <w:tc>
          <w:tcPr>
            <w:tcW w:w="464"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8°47'31.36</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63°53'42.47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51.59</w:t>
            </w:r>
          </w:p>
        </w:tc>
        <w:tc>
          <w:tcPr>
            <w:tcW w:w="371"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00205</w:t>
            </w:r>
          </w:p>
        </w:tc>
        <w:tc>
          <w:tcPr>
            <w:tcW w:w="557"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Porto Velho II</w:t>
            </w:r>
          </w:p>
        </w:tc>
        <w:tc>
          <w:tcPr>
            <w:tcW w:w="742"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Zona Leste</w:t>
            </w:r>
          </w:p>
        </w:tc>
        <w:tc>
          <w:tcPr>
            <w:tcW w:w="1020"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Rua Nilo com Rua </w:t>
            </w:r>
            <w:proofErr w:type="spellStart"/>
            <w:r w:rsidRPr="00CE42C7">
              <w:rPr>
                <w:rFonts w:ascii="Arial" w:hAnsi="Arial" w:cs="Arial"/>
                <w:color w:val="000000"/>
                <w:sz w:val="16"/>
                <w:szCs w:val="16"/>
              </w:rPr>
              <w:t>Viara</w:t>
            </w:r>
            <w:proofErr w:type="spellEnd"/>
          </w:p>
        </w:tc>
        <w:tc>
          <w:tcPr>
            <w:tcW w:w="464"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8°46'55.2</w:t>
            </w:r>
            <w:proofErr w:type="gramStart"/>
            <w:r w:rsidRPr="00CE42C7">
              <w:rPr>
                <w:rFonts w:ascii="Arial" w:hAnsi="Arial" w:cs="Arial"/>
                <w:color w:val="000000"/>
                <w:sz w:val="16"/>
                <w:szCs w:val="16"/>
              </w:rPr>
              <w:t xml:space="preserve">"S </w:t>
            </w:r>
          </w:p>
        </w:tc>
        <w:tc>
          <w:tcPr>
            <w:tcW w:w="556"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63°47'59.7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50.89</w:t>
            </w:r>
          </w:p>
        </w:tc>
        <w:tc>
          <w:tcPr>
            <w:tcW w:w="371"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00122</w:t>
            </w:r>
          </w:p>
        </w:tc>
        <w:tc>
          <w:tcPr>
            <w:tcW w:w="557"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Ji-Paraná</w:t>
            </w:r>
            <w:proofErr w:type="spellEnd"/>
            <w:r w:rsidRPr="00CE42C7">
              <w:rPr>
                <w:rFonts w:ascii="Arial" w:hAnsi="Arial" w:cs="Arial"/>
                <w:color w:val="000000"/>
                <w:sz w:val="16"/>
                <w:szCs w:val="16"/>
              </w:rPr>
              <w:t xml:space="preserve"> I</w:t>
            </w:r>
          </w:p>
        </w:tc>
        <w:tc>
          <w:tcPr>
            <w:tcW w:w="742"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Jardins dos Migrantes</w:t>
            </w:r>
          </w:p>
        </w:tc>
        <w:tc>
          <w:tcPr>
            <w:tcW w:w="1020"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Monte Castelo com Rua Treze de Setembro</w:t>
            </w:r>
          </w:p>
        </w:tc>
        <w:tc>
          <w:tcPr>
            <w:tcW w:w="464"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10°52'34.25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61°57'46.37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84.9</w:t>
            </w:r>
          </w:p>
        </w:tc>
        <w:tc>
          <w:tcPr>
            <w:tcW w:w="371"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00122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Ji-Paraná</w:t>
            </w:r>
            <w:proofErr w:type="spellEnd"/>
            <w:r w:rsidRPr="00CE42C7">
              <w:rPr>
                <w:rFonts w:ascii="Arial" w:hAnsi="Arial" w:cs="Arial"/>
                <w:color w:val="000000"/>
                <w:sz w:val="16"/>
                <w:szCs w:val="16"/>
              </w:rPr>
              <w:t xml:space="preserve"> II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do CEDEL</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Rua </w:t>
            </w:r>
            <w:proofErr w:type="spellStart"/>
            <w:r w:rsidRPr="00CE42C7">
              <w:rPr>
                <w:rFonts w:ascii="Arial" w:hAnsi="Arial" w:cs="Arial"/>
                <w:color w:val="000000"/>
                <w:sz w:val="16"/>
                <w:szCs w:val="16"/>
              </w:rPr>
              <w:t>Caucheiro</w:t>
            </w:r>
            <w:proofErr w:type="spellEnd"/>
            <w:r w:rsidRPr="00CE42C7">
              <w:rPr>
                <w:rFonts w:ascii="Arial" w:hAnsi="Arial" w:cs="Arial"/>
                <w:color w:val="000000"/>
                <w:sz w:val="16"/>
                <w:szCs w:val="16"/>
              </w:rPr>
              <w:t xml:space="preserve"> com Rua E</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10°53'50.85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61°54'43.17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99.8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00023</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Ariquemes 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da Vitória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w:t>
            </w:r>
            <w:proofErr w:type="spellStart"/>
            <w:r w:rsidRPr="00CE42C7">
              <w:rPr>
                <w:rFonts w:ascii="Arial" w:hAnsi="Arial" w:cs="Arial"/>
                <w:color w:val="000000"/>
                <w:sz w:val="16"/>
                <w:szCs w:val="16"/>
              </w:rPr>
              <w:t>Jamari</w:t>
            </w:r>
            <w:proofErr w:type="spellEnd"/>
            <w:r w:rsidRPr="00CE42C7">
              <w:rPr>
                <w:rFonts w:ascii="Arial" w:hAnsi="Arial" w:cs="Arial"/>
                <w:color w:val="000000"/>
                <w:sz w:val="16"/>
                <w:szCs w:val="16"/>
              </w:rPr>
              <w:t xml:space="preserve"> com Travessa Inglaterra</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9°55'9.14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 2'18.57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144.5</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00023</w:t>
            </w:r>
          </w:p>
        </w:tc>
        <w:tc>
          <w:tcPr>
            <w:tcW w:w="557"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Ariquemes II</w:t>
            </w:r>
          </w:p>
        </w:tc>
        <w:tc>
          <w:tcPr>
            <w:tcW w:w="742"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Espaço Alternativo</w:t>
            </w:r>
          </w:p>
        </w:tc>
        <w:tc>
          <w:tcPr>
            <w:tcW w:w="1020"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Tancredo Neves com Rua </w:t>
            </w:r>
            <w:proofErr w:type="spellStart"/>
            <w:r w:rsidRPr="00CE42C7">
              <w:rPr>
                <w:rFonts w:ascii="Arial" w:hAnsi="Arial" w:cs="Arial"/>
                <w:color w:val="000000"/>
                <w:sz w:val="16"/>
                <w:szCs w:val="16"/>
              </w:rPr>
              <w:t>Claudiné</w:t>
            </w:r>
            <w:proofErr w:type="spellEnd"/>
            <w:r w:rsidRPr="00CE42C7">
              <w:rPr>
                <w:rFonts w:ascii="Arial" w:hAnsi="Arial" w:cs="Arial"/>
                <w:color w:val="000000"/>
                <w:sz w:val="16"/>
                <w:szCs w:val="16"/>
              </w:rPr>
              <w:t xml:space="preserve"> de Almeida</w:t>
            </w:r>
          </w:p>
        </w:tc>
        <w:tc>
          <w:tcPr>
            <w:tcW w:w="464"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9°54'13.75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63° 1'59.11</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91.32</w:t>
            </w:r>
          </w:p>
        </w:tc>
        <w:tc>
          <w:tcPr>
            <w:tcW w:w="371"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00304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Vilhena</w:t>
            </w:r>
            <w:proofErr w:type="spellEnd"/>
            <w:r w:rsidRPr="00CE42C7">
              <w:rPr>
                <w:rFonts w:ascii="Arial" w:hAnsi="Arial" w:cs="Arial"/>
                <w:color w:val="000000"/>
                <w:sz w:val="16"/>
                <w:szCs w:val="16"/>
              </w:rPr>
              <w:t xml:space="preserve"> 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Nossa Senhora Aparecida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Major Amarante com Rua Domingos Linhares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12°44'31.79</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 8'10.05</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108.2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00304</w:t>
            </w:r>
          </w:p>
        </w:tc>
        <w:tc>
          <w:tcPr>
            <w:tcW w:w="557"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Vilhena</w:t>
            </w:r>
            <w:proofErr w:type="spellEnd"/>
            <w:r w:rsidRPr="00CE42C7">
              <w:rPr>
                <w:rFonts w:ascii="Arial" w:hAnsi="Arial" w:cs="Arial"/>
                <w:color w:val="000000"/>
                <w:sz w:val="16"/>
                <w:szCs w:val="16"/>
              </w:rPr>
              <w:t xml:space="preserve"> II</w:t>
            </w:r>
          </w:p>
        </w:tc>
        <w:tc>
          <w:tcPr>
            <w:tcW w:w="742"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w:t>
            </w:r>
            <w:proofErr w:type="spellStart"/>
            <w:r w:rsidRPr="00CE42C7">
              <w:rPr>
                <w:rFonts w:ascii="Arial" w:hAnsi="Arial" w:cs="Arial"/>
                <w:color w:val="000000"/>
                <w:sz w:val="16"/>
                <w:szCs w:val="16"/>
              </w:rPr>
              <w:t>Angelo</w:t>
            </w:r>
            <w:proofErr w:type="spell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Spadari</w:t>
            </w:r>
            <w:proofErr w:type="spellEnd"/>
          </w:p>
        </w:tc>
        <w:tc>
          <w:tcPr>
            <w:tcW w:w="1020"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Maj. Amarante com Rua Ricardo Franco</w:t>
            </w:r>
          </w:p>
        </w:tc>
        <w:tc>
          <w:tcPr>
            <w:tcW w:w="464"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12°44'20.44</w:t>
            </w:r>
            <w:proofErr w:type="gramStart"/>
            <w:r w:rsidRPr="00CE42C7">
              <w:rPr>
                <w:rFonts w:ascii="Arial" w:hAnsi="Arial" w:cs="Arial"/>
                <w:color w:val="000000"/>
                <w:sz w:val="16"/>
                <w:szCs w:val="16"/>
              </w:rPr>
              <w:t xml:space="preserve">"S </w:t>
            </w:r>
          </w:p>
        </w:tc>
        <w:tc>
          <w:tcPr>
            <w:tcW w:w="556"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60° 8'49.88</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81.13</w:t>
            </w:r>
          </w:p>
        </w:tc>
        <w:tc>
          <w:tcPr>
            <w:tcW w:w="371" w:type="pct"/>
            <w:tcBorders>
              <w:top w:val="nil"/>
              <w:left w:val="nil"/>
              <w:bottom w:val="single" w:sz="4" w:space="0" w:color="auto"/>
              <w:right w:val="single" w:sz="4" w:space="0" w:color="auto"/>
            </w:tcBorders>
            <w:shd w:val="clear" w:color="auto" w:fill="auto"/>
            <w:noWrap/>
            <w:vAlign w:val="bottom"/>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00049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Cacoal</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Municipal de Cacoal</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Guaporé com Rua Rio Branco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11°26'10.53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61°27'4.87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106.4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00114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Jaru</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Municipal de </w:t>
            </w:r>
            <w:proofErr w:type="spellStart"/>
            <w:r w:rsidRPr="00CE42C7">
              <w:rPr>
                <w:rFonts w:ascii="Arial" w:hAnsi="Arial" w:cs="Arial"/>
                <w:color w:val="000000"/>
                <w:sz w:val="16"/>
                <w:szCs w:val="16"/>
              </w:rPr>
              <w:t>Jaru</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Florianópolis com Av. Juscelino Kubitscheck</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10°26'22.24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62°28'5.33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115.7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00288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Rolim de Moura</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w:t>
            </w:r>
            <w:proofErr w:type="gramStart"/>
            <w:r w:rsidRPr="00CE42C7">
              <w:rPr>
                <w:rFonts w:ascii="Arial" w:hAnsi="Arial" w:cs="Arial"/>
                <w:color w:val="000000"/>
                <w:sz w:val="16"/>
                <w:szCs w:val="16"/>
              </w:rPr>
              <w:t>do Imigrantes</w:t>
            </w:r>
            <w:proofErr w:type="gram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Fortaleza com Av. Norte Sul</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11°43'25.75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61°46'38.16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109.5</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00106</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Guajará-Mirim</w:t>
            </w:r>
            <w:proofErr w:type="spellEnd"/>
            <w:r w:rsidRPr="00CE42C7">
              <w:rPr>
                <w:rFonts w:ascii="Arial" w:hAnsi="Arial" w:cs="Arial"/>
                <w:color w:val="000000"/>
                <w:sz w:val="16"/>
                <w:szCs w:val="16"/>
              </w:rPr>
              <w:t xml:space="preserve"> 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Governador Jorge </w:t>
            </w:r>
            <w:proofErr w:type="spellStart"/>
            <w:r w:rsidRPr="00CE42C7">
              <w:rPr>
                <w:rFonts w:ascii="Arial" w:hAnsi="Arial" w:cs="Arial"/>
                <w:color w:val="000000"/>
                <w:sz w:val="16"/>
                <w:szCs w:val="16"/>
              </w:rPr>
              <w:t>Texeira</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Av.</w:t>
            </w:r>
            <w:proofErr w:type="gramEnd"/>
            <w:r w:rsidRPr="00CE42C7">
              <w:rPr>
                <w:rFonts w:ascii="Arial" w:hAnsi="Arial" w:cs="Arial"/>
                <w:color w:val="000000"/>
                <w:sz w:val="16"/>
                <w:szCs w:val="16"/>
              </w:rPr>
              <w:t xml:space="preserve"> 15 de Novembro com Av. Pimenta Bueno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10°47'9.53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65°20'25.80</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117.2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00106</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Guajará-Mirim</w:t>
            </w:r>
            <w:proofErr w:type="spellEnd"/>
            <w:r w:rsidRPr="00CE42C7">
              <w:rPr>
                <w:rFonts w:ascii="Arial" w:hAnsi="Arial" w:cs="Arial"/>
                <w:color w:val="000000"/>
                <w:sz w:val="16"/>
                <w:szCs w:val="16"/>
              </w:rPr>
              <w:t xml:space="preserve"> II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Soldado da Borracha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Av.</w:t>
            </w:r>
            <w:proofErr w:type="gramEnd"/>
            <w:r w:rsidRPr="00CE42C7">
              <w:rPr>
                <w:rFonts w:ascii="Arial" w:hAnsi="Arial" w:cs="Arial"/>
                <w:color w:val="000000"/>
                <w:sz w:val="16"/>
                <w:szCs w:val="16"/>
              </w:rPr>
              <w:t xml:space="preserve"> 15 de Novembro com Av. Mascarenhas de </w:t>
            </w:r>
            <w:proofErr w:type="spellStart"/>
            <w:r w:rsidRPr="00CE42C7">
              <w:rPr>
                <w:rFonts w:ascii="Arial" w:hAnsi="Arial" w:cs="Arial"/>
                <w:color w:val="000000"/>
                <w:sz w:val="16"/>
                <w:szCs w:val="16"/>
              </w:rPr>
              <w:t>Morães</w:t>
            </w:r>
            <w:proofErr w:type="spellEnd"/>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10°46'29.75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65°19'42.23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118.2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00155</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Ouro Preto do 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da Liberdade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Av.</w:t>
            </w:r>
            <w:proofErr w:type="gramEnd"/>
            <w:r w:rsidRPr="00CE42C7">
              <w:rPr>
                <w:rFonts w:ascii="Arial" w:hAnsi="Arial" w:cs="Arial"/>
                <w:color w:val="000000"/>
                <w:sz w:val="16"/>
                <w:szCs w:val="16"/>
              </w:rPr>
              <w:t xml:space="preserve"> 15 de Novembro com Rua dos Seringueiros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10°43'8.38</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62°15'20.65</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136.5</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00189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Pimenta Bueno</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Pimenta Bueno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Castelo Branco com Rua Casemiro de Abreu</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11°40'24.55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61°11'14.22</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126.2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00452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Buritis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Central</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Porto Velho com Rua Gen. Osório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10°12'35.72</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63°49'38.43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52.3</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00130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Machadinho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Municipal de Machadinho D'Oeste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Getúlio Vargas com Av. Rio de Janeiro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9°25'34.15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 0'22.44</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50.7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00098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Espigão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Espigão D'Oeste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Acre com Rua Mato Grosso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11°32'8.94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 0'56.63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57.5</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00338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Nova Mamoré</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Central</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w:t>
            </w:r>
            <w:proofErr w:type="spellStart"/>
            <w:r w:rsidRPr="00CE42C7">
              <w:rPr>
                <w:rFonts w:ascii="Arial" w:hAnsi="Arial" w:cs="Arial"/>
                <w:color w:val="000000"/>
                <w:sz w:val="16"/>
                <w:szCs w:val="16"/>
              </w:rPr>
              <w:t>Dezidério</w:t>
            </w:r>
            <w:proofErr w:type="spellEnd"/>
            <w:r w:rsidRPr="00CE42C7">
              <w:rPr>
                <w:rFonts w:ascii="Arial" w:hAnsi="Arial" w:cs="Arial"/>
                <w:color w:val="000000"/>
                <w:sz w:val="16"/>
                <w:szCs w:val="16"/>
              </w:rPr>
              <w:t xml:space="preserve"> Dom Lopes com Av. Sebastião João Clímaco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10°24'37.94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65°19'51.33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62.7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00015</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Alta Floresta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Castelo Branco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Rio Grande do Sul com Av. Brasil</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11°55'45.21</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61°59'37.43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104.2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00320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São Miguel do Guaporé</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da Matriz</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Cap. Silvio com Rua Noroeste</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11°41'48.95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62°42'59.14</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30.4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00254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Presidente Médici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Presidente Médici</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Sete de Setembro com Rua Castelo Branco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11°10'11.82</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61°54'11.79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44.4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00809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Candeias do </w:t>
            </w:r>
            <w:proofErr w:type="spellStart"/>
            <w:r w:rsidRPr="00CE42C7">
              <w:rPr>
                <w:rFonts w:ascii="Arial" w:hAnsi="Arial" w:cs="Arial"/>
                <w:color w:val="000000"/>
                <w:sz w:val="16"/>
                <w:szCs w:val="16"/>
              </w:rPr>
              <w:t>Jamari</w:t>
            </w:r>
            <w:proofErr w:type="spellEnd"/>
            <w:r w:rsidRPr="00CE42C7">
              <w:rPr>
                <w:rFonts w:ascii="Arial" w:hAnsi="Arial" w:cs="Arial"/>
                <w:color w:val="000000"/>
                <w:sz w:val="16"/>
                <w:szCs w:val="16"/>
              </w:rPr>
              <w:t xml:space="preserve"> 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Beira Rio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Vinte e Um de Abril com Rua Zacarias Vicente dos Santos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8°47'34.15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63°42'24.66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118.2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00809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Candeias do </w:t>
            </w:r>
            <w:proofErr w:type="spellStart"/>
            <w:r w:rsidRPr="00CE42C7">
              <w:rPr>
                <w:rFonts w:ascii="Arial" w:hAnsi="Arial" w:cs="Arial"/>
                <w:color w:val="000000"/>
                <w:sz w:val="16"/>
                <w:szCs w:val="16"/>
              </w:rPr>
              <w:t>Jamari</w:t>
            </w:r>
            <w:proofErr w:type="spellEnd"/>
            <w:r w:rsidRPr="00CE42C7">
              <w:rPr>
                <w:rFonts w:ascii="Arial" w:hAnsi="Arial" w:cs="Arial"/>
                <w:color w:val="000000"/>
                <w:sz w:val="16"/>
                <w:szCs w:val="16"/>
              </w:rPr>
              <w:t xml:space="preserve"> II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Municipal de Candeias do </w:t>
            </w:r>
            <w:proofErr w:type="spellStart"/>
            <w:r w:rsidRPr="00CE42C7">
              <w:rPr>
                <w:rFonts w:ascii="Arial" w:hAnsi="Arial" w:cs="Arial"/>
                <w:color w:val="000000"/>
                <w:sz w:val="16"/>
                <w:szCs w:val="16"/>
              </w:rPr>
              <w:t>Jamari</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Tancredo Neves com Rua Alfredo J. </w:t>
            </w:r>
            <w:proofErr w:type="gramStart"/>
            <w:r w:rsidRPr="00CE42C7">
              <w:rPr>
                <w:rFonts w:ascii="Arial" w:hAnsi="Arial" w:cs="Arial"/>
                <w:color w:val="000000"/>
                <w:sz w:val="16"/>
                <w:szCs w:val="16"/>
              </w:rPr>
              <w:t>do</w:t>
            </w:r>
            <w:proofErr w:type="gramEnd"/>
            <w:r w:rsidRPr="00CE42C7">
              <w:rPr>
                <w:rFonts w:ascii="Arial" w:hAnsi="Arial" w:cs="Arial"/>
                <w:color w:val="000000"/>
                <w:sz w:val="16"/>
                <w:szCs w:val="16"/>
              </w:rPr>
              <w:t xml:space="preserve"> Nascimento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8°47'42.04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63°42'14.88</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74.7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00148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Nova </w:t>
            </w:r>
            <w:proofErr w:type="spellStart"/>
            <w:r w:rsidRPr="00CE42C7">
              <w:rPr>
                <w:rFonts w:ascii="Arial" w:hAnsi="Arial" w:cs="Arial"/>
                <w:color w:val="000000"/>
                <w:sz w:val="16"/>
                <w:szCs w:val="16"/>
              </w:rPr>
              <w:t>Brasilândia</w:t>
            </w:r>
            <w:proofErr w:type="spellEnd"/>
            <w:r w:rsidRPr="00CE42C7">
              <w:rPr>
                <w:rFonts w:ascii="Arial" w:hAnsi="Arial" w:cs="Arial"/>
                <w:color w:val="000000"/>
                <w:sz w:val="16"/>
                <w:szCs w:val="16"/>
              </w:rPr>
              <w:t xml:space="preserve">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Espaço Alternativo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RO-481 com Rua Canaã</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11°43'33.68</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62°19'2.39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84.6</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00403</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Alto Paraíso</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Alto Paraíso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Rua Mario Barbosa com Rua Paulo VI</w:t>
            </w:r>
            <w:proofErr w:type="gramEnd"/>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9°43'12.73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63°19'5.36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83.4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lastRenderedPageBreak/>
              <w:t>00940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Cujubim</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de </w:t>
            </w:r>
            <w:proofErr w:type="spellStart"/>
            <w:r w:rsidRPr="00CE42C7">
              <w:rPr>
                <w:rFonts w:ascii="Arial" w:hAnsi="Arial" w:cs="Arial"/>
                <w:color w:val="000000"/>
                <w:sz w:val="16"/>
                <w:szCs w:val="16"/>
              </w:rPr>
              <w:t>Cujubim</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Av.</w:t>
            </w:r>
            <w:proofErr w:type="gramEnd"/>
            <w:r w:rsidRPr="00CE42C7">
              <w:rPr>
                <w:rFonts w:ascii="Arial" w:hAnsi="Arial" w:cs="Arial"/>
                <w:color w:val="000000"/>
                <w:sz w:val="16"/>
                <w:szCs w:val="16"/>
              </w:rPr>
              <w:t xml:space="preserve"> do Condor com Av. </w:t>
            </w:r>
            <w:proofErr w:type="spellStart"/>
            <w:r w:rsidRPr="00CE42C7">
              <w:rPr>
                <w:rFonts w:ascii="Arial" w:hAnsi="Arial" w:cs="Arial"/>
                <w:color w:val="000000"/>
                <w:sz w:val="16"/>
                <w:szCs w:val="16"/>
              </w:rPr>
              <w:t>Cujubim</w:t>
            </w:r>
            <w:proofErr w:type="spellEnd"/>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9°22'6.98</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62°35'0.48</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53.2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00064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Colorado do Oeste 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Colorado do 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Mal. Rondon com Av. Rio Negro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13° 7'20.25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60°32'44.89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102.4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00064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Colorado do Oeste II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Espaço Alternativo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Paulo de Assis Ribeiro com Av. Mal. Rondon</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13° 7'13.85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60°32'44.20</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83.4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4</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50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01492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São Francisco do Guaporé</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Espaço Alternativo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Tancredo Neves com Rua Presidente Castelo Branco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 3'35.94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63°34'2.15</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95.4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00056</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Cerejeiras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Cerejeiras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Av.</w:t>
            </w:r>
            <w:proofErr w:type="gramEnd"/>
            <w:r w:rsidRPr="00CE42C7">
              <w:rPr>
                <w:rFonts w:ascii="Arial" w:hAnsi="Arial" w:cs="Arial"/>
                <w:color w:val="000000"/>
                <w:sz w:val="16"/>
                <w:szCs w:val="16"/>
              </w:rPr>
              <w:t xml:space="preserve"> das Nações com Rua Brasília</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13°11'19.22</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60°49'0.16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55.3</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00346</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Alvorada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Pública de Alvorada D'Oeste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Café Filho com Av. Cinco de Setembro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11°21'0.93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62°17'10.09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46.8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00080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Costa Marques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Costa Marques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Mamoré com Av. Guaporé</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12°26'17.11</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64°13'38.36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121.6</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01401</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Monte Negro</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Monte Negro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Francisco Prestes com Rua Mal. Cândido Rondon</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10°15'44.70</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63°17'51.55</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64.8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00700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Campo Novo de Rondônia</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Campo Novo de Rondônia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Tancredo Neves com Rua Quinze de Novembro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10°34'20.69</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63°37'1.29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80.2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00379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Alto Alegre dos Parecis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Alto Alegre dos Parecis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Presidente Prudente com Rua Pio XII</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 8'2.73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61°51'10.59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62.3</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01708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Urupá</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Urupá</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Cabo Barbosa com Av. Moacir de Paula Vieira</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 7'32.43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62°22'0.19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61.6</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01500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Seringueiras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Seringueiras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Integração Nacional com Rua São Paulo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11°46'17.80</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 2'8.43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57.5</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01302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Mirante da Serra</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Mirante da Serra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Rio Branco com RO-010</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 1'37.84</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62°40'37.45</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84.8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01609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Theobroma</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de </w:t>
            </w:r>
            <w:proofErr w:type="spellStart"/>
            <w:r w:rsidRPr="00CE42C7">
              <w:rPr>
                <w:rFonts w:ascii="Arial" w:hAnsi="Arial" w:cs="Arial"/>
                <w:color w:val="000000"/>
                <w:sz w:val="16"/>
                <w:szCs w:val="16"/>
              </w:rPr>
              <w:t>Theobroma</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Treze de Fevereiro com Av. Pres. </w:t>
            </w:r>
            <w:proofErr w:type="spellStart"/>
            <w:r w:rsidRPr="00CE42C7">
              <w:rPr>
                <w:rFonts w:ascii="Arial" w:hAnsi="Arial" w:cs="Arial"/>
                <w:color w:val="000000"/>
                <w:sz w:val="16"/>
                <w:szCs w:val="16"/>
              </w:rPr>
              <w:t>Getúlioo</w:t>
            </w:r>
            <w:proofErr w:type="spellEnd"/>
            <w:r w:rsidRPr="00CE42C7">
              <w:rPr>
                <w:rFonts w:ascii="Arial" w:hAnsi="Arial" w:cs="Arial"/>
                <w:color w:val="000000"/>
                <w:sz w:val="16"/>
                <w:szCs w:val="16"/>
              </w:rPr>
              <w:t xml:space="preserve"> </w:t>
            </w:r>
            <w:proofErr w:type="gramStart"/>
            <w:r w:rsidRPr="00CE42C7">
              <w:rPr>
                <w:rFonts w:ascii="Arial" w:hAnsi="Arial" w:cs="Arial"/>
                <w:color w:val="000000"/>
                <w:sz w:val="16"/>
                <w:szCs w:val="16"/>
              </w:rPr>
              <w:t>Vargas</w:t>
            </w:r>
            <w:proofErr w:type="gramEnd"/>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10°14'46.81</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62°20'56.47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41.8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01203</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Ministro Andreazza</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w:t>
            </w:r>
            <w:proofErr w:type="gramStart"/>
            <w:r w:rsidRPr="00CE42C7">
              <w:rPr>
                <w:rFonts w:ascii="Arial" w:hAnsi="Arial" w:cs="Arial"/>
                <w:color w:val="000000"/>
                <w:sz w:val="16"/>
                <w:szCs w:val="16"/>
              </w:rPr>
              <w:t xml:space="preserve">  </w:t>
            </w:r>
            <w:proofErr w:type="gramEnd"/>
            <w:r w:rsidRPr="00CE42C7">
              <w:rPr>
                <w:rFonts w:ascii="Arial" w:hAnsi="Arial" w:cs="Arial"/>
                <w:color w:val="000000"/>
                <w:sz w:val="16"/>
                <w:szCs w:val="16"/>
              </w:rPr>
              <w:t>Ministro Andreazza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Pau Brasil com Rua Tancredo Neves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11°11'50.03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61°31'4.78</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79.7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01005</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Governador Jorge Teixeira</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Governador Jorge Teixeira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Pedra Branca com Rua Mogno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10°36'50.11</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62°44'4.48</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42.7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01757</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Vale do </w:t>
            </w:r>
            <w:proofErr w:type="spellStart"/>
            <w:r w:rsidRPr="00CE42C7">
              <w:rPr>
                <w:rFonts w:ascii="Arial" w:hAnsi="Arial" w:cs="Arial"/>
                <w:color w:val="000000"/>
                <w:sz w:val="16"/>
                <w:szCs w:val="16"/>
              </w:rPr>
              <w:t>Anari</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de Vale do </w:t>
            </w:r>
            <w:proofErr w:type="spellStart"/>
            <w:r w:rsidRPr="00CE42C7">
              <w:rPr>
                <w:rFonts w:ascii="Arial" w:hAnsi="Arial" w:cs="Arial"/>
                <w:color w:val="000000"/>
                <w:sz w:val="16"/>
                <w:szCs w:val="16"/>
              </w:rPr>
              <w:t>Anari</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Silvio de Farias com Rua Rio Branco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9°51'22.40</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62°10'34.04</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51.9</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00502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Novo Horizonte do 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Novo Horizonte do 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Dr. Miguel </w:t>
            </w:r>
            <w:proofErr w:type="spellStart"/>
            <w:r w:rsidRPr="00CE42C7">
              <w:rPr>
                <w:rFonts w:ascii="Arial" w:hAnsi="Arial" w:cs="Arial"/>
                <w:color w:val="000000"/>
                <w:sz w:val="16"/>
                <w:szCs w:val="16"/>
              </w:rPr>
              <w:t>Viêira</w:t>
            </w:r>
            <w:proofErr w:type="spellEnd"/>
            <w:r w:rsidRPr="00CE42C7">
              <w:rPr>
                <w:rFonts w:ascii="Arial" w:hAnsi="Arial" w:cs="Arial"/>
                <w:color w:val="000000"/>
                <w:sz w:val="16"/>
                <w:szCs w:val="16"/>
              </w:rPr>
              <w:t xml:space="preserve"> Ferreira com Rua Amapá</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11°42'27.18</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61°59'59.33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50.4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01104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Itapuã</w:t>
            </w:r>
            <w:proofErr w:type="spellEnd"/>
            <w:r w:rsidRPr="00CE42C7">
              <w:rPr>
                <w:rFonts w:ascii="Arial" w:hAnsi="Arial" w:cs="Arial"/>
                <w:color w:val="000000"/>
                <w:sz w:val="16"/>
                <w:szCs w:val="16"/>
              </w:rPr>
              <w:t xml:space="preserve"> do 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de </w:t>
            </w:r>
            <w:proofErr w:type="spellStart"/>
            <w:r w:rsidRPr="00CE42C7">
              <w:rPr>
                <w:rFonts w:ascii="Arial" w:hAnsi="Arial" w:cs="Arial"/>
                <w:color w:val="000000"/>
                <w:sz w:val="16"/>
                <w:szCs w:val="16"/>
              </w:rPr>
              <w:t>Itapuã</w:t>
            </w:r>
            <w:proofErr w:type="spellEnd"/>
            <w:r w:rsidRPr="00CE42C7">
              <w:rPr>
                <w:rFonts w:ascii="Arial" w:hAnsi="Arial" w:cs="Arial"/>
                <w:color w:val="000000"/>
                <w:sz w:val="16"/>
                <w:szCs w:val="16"/>
              </w:rPr>
              <w:t xml:space="preserve"> do 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Airton Senna com Av. Costa e Silva</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9°11'20.22</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63°11'21.86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93.2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00924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Chupinguaia</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de </w:t>
            </w:r>
            <w:proofErr w:type="spellStart"/>
            <w:r w:rsidRPr="00CE42C7">
              <w:rPr>
                <w:rFonts w:ascii="Arial" w:hAnsi="Arial" w:cs="Arial"/>
                <w:color w:val="000000"/>
                <w:sz w:val="16"/>
                <w:szCs w:val="16"/>
              </w:rPr>
              <w:t>Chumpinguaia</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Tancredo Neves com Av. Sete de Setembro (Avenida Sete)</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12°33'3.89</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60°53'56.86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87.6</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00072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Corumbiara</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Praça de </w:t>
            </w:r>
            <w:proofErr w:type="spellStart"/>
            <w:r w:rsidRPr="00CE42C7">
              <w:rPr>
                <w:rFonts w:ascii="Arial" w:hAnsi="Arial" w:cs="Arial"/>
                <w:color w:val="000000"/>
                <w:sz w:val="16"/>
                <w:szCs w:val="16"/>
              </w:rPr>
              <w:t>Corumbiara</w:t>
            </w:r>
            <w:proofErr w:type="spellEnd"/>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Itália Cautiero Franco com Rua Tancredo Neves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12°59'55.86</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60°56'38.74</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48.8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00296</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Santa Luzia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Santa Luzia D'Oeste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Tancredo Neves com Rua Dom Pedro I</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11°54'31.55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61°46'46.92</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42.8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01807</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Vale do Paraíso</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Vale do Paraíso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Rua Marcelo </w:t>
            </w:r>
            <w:proofErr w:type="spellStart"/>
            <w:r w:rsidRPr="00CE42C7">
              <w:rPr>
                <w:rFonts w:ascii="Arial" w:hAnsi="Arial" w:cs="Arial"/>
                <w:color w:val="000000"/>
                <w:sz w:val="16"/>
                <w:szCs w:val="16"/>
              </w:rPr>
              <w:t>Turati</w:t>
            </w:r>
            <w:proofErr w:type="spellEnd"/>
            <w:r w:rsidRPr="00CE42C7">
              <w:rPr>
                <w:rFonts w:ascii="Arial" w:hAnsi="Arial" w:cs="Arial"/>
                <w:color w:val="000000"/>
                <w:sz w:val="16"/>
                <w:szCs w:val="16"/>
              </w:rPr>
              <w:t xml:space="preserve"> com Av. Paraíso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10°25'37.89</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 7'57.37</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72.4</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01435</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Nova União</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Nova União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Dezoito com Rua Dezenove</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10°54'48.83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62°33'16.63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56.7</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00031</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Cabixi</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Cabixi</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Tupinambás com </w:t>
            </w:r>
            <w:proofErr w:type="spellStart"/>
            <w:r w:rsidRPr="00CE42C7">
              <w:rPr>
                <w:rFonts w:ascii="Arial" w:hAnsi="Arial" w:cs="Arial"/>
                <w:color w:val="000000"/>
                <w:sz w:val="16"/>
                <w:szCs w:val="16"/>
              </w:rPr>
              <w:t>Av</w:t>
            </w:r>
            <w:proofErr w:type="spellEnd"/>
            <w:r w:rsidRPr="00CE42C7">
              <w:rPr>
                <w:rFonts w:ascii="Arial" w:hAnsi="Arial" w:cs="Arial"/>
                <w:color w:val="000000"/>
                <w:sz w:val="16"/>
                <w:szCs w:val="16"/>
              </w:rPr>
              <w:t xml:space="preserve"> Tapajós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13°29'42.83</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60°32'39.31</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55.3</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00601</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Cacaulândia</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dos Pioneiros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 xml:space="preserve">Rua João </w:t>
            </w:r>
            <w:proofErr w:type="spellStart"/>
            <w:r w:rsidRPr="00CE42C7">
              <w:rPr>
                <w:rFonts w:ascii="Arial" w:hAnsi="Arial" w:cs="Arial"/>
                <w:color w:val="000000"/>
                <w:sz w:val="16"/>
                <w:szCs w:val="16"/>
              </w:rPr>
              <w:t>Boava</w:t>
            </w:r>
            <w:proofErr w:type="spellEnd"/>
            <w:r w:rsidRPr="00CE42C7">
              <w:rPr>
                <w:rFonts w:ascii="Arial" w:hAnsi="Arial" w:cs="Arial"/>
                <w:color w:val="000000"/>
                <w:sz w:val="16"/>
                <w:szCs w:val="16"/>
              </w:rPr>
              <w:t xml:space="preserve"> com Rua Ben Te VI</w:t>
            </w:r>
            <w:proofErr w:type="gramEnd"/>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10°20'33.87</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62°54'4.39</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55.9</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01484</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São Felipe D'Oeste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São Felipe D'Oeste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Av. Jorge Teixeira de Oliveira com Rua Francisco </w:t>
            </w:r>
            <w:proofErr w:type="spellStart"/>
            <w:r w:rsidRPr="00CE42C7">
              <w:rPr>
                <w:rFonts w:ascii="Arial" w:hAnsi="Arial" w:cs="Arial"/>
                <w:color w:val="000000"/>
                <w:sz w:val="16"/>
                <w:szCs w:val="16"/>
              </w:rPr>
              <w:t>Ruíz</w:t>
            </w:r>
            <w:proofErr w:type="spellEnd"/>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11°54'38.45</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61°30'42.56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57.6</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01450</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Parecis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dos Poetas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Rua da Matriz com Rua Praça dos Poetas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12°10'51.96</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61°36'13.43</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84.9</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01559</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spellStart"/>
            <w:r w:rsidRPr="00CE42C7">
              <w:rPr>
                <w:rFonts w:ascii="Arial" w:hAnsi="Arial" w:cs="Arial"/>
                <w:color w:val="000000"/>
                <w:sz w:val="16"/>
                <w:szCs w:val="16"/>
              </w:rPr>
              <w:t>Teixeirópolis</w:t>
            </w:r>
            <w:proofErr w:type="spellEnd"/>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dos Sonhos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Rua </w:t>
            </w:r>
            <w:proofErr w:type="spellStart"/>
            <w:r w:rsidRPr="00CE42C7">
              <w:rPr>
                <w:rFonts w:ascii="Arial" w:hAnsi="Arial" w:cs="Arial"/>
                <w:color w:val="000000"/>
                <w:sz w:val="16"/>
                <w:szCs w:val="16"/>
              </w:rPr>
              <w:t>Genivaldo</w:t>
            </w:r>
            <w:proofErr w:type="spellEnd"/>
            <w:r w:rsidRPr="00CE42C7">
              <w:rPr>
                <w:rFonts w:ascii="Arial" w:hAnsi="Arial" w:cs="Arial"/>
                <w:color w:val="000000"/>
                <w:sz w:val="16"/>
                <w:szCs w:val="16"/>
              </w:rPr>
              <w:t xml:space="preserve"> Souza com Rua Afonso Pena</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10°56'0.66</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62°15'19.81</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55.8</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00908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Castanheiras</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Castanheiras</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Av.</w:t>
            </w:r>
            <w:proofErr w:type="gramEnd"/>
            <w:r w:rsidRPr="00CE42C7">
              <w:rPr>
                <w:rFonts w:ascii="Arial" w:hAnsi="Arial" w:cs="Arial"/>
                <w:color w:val="000000"/>
                <w:sz w:val="16"/>
                <w:szCs w:val="16"/>
              </w:rPr>
              <w:t xml:space="preserve"> das Palmeiras com Av. Jacarandá</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11°25'40.07</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61°56'59.71</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55.2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lastRenderedPageBreak/>
              <w:t>00262</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Rio Crespo</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Rio Crespo</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Rua </w:t>
            </w:r>
            <w:proofErr w:type="spellStart"/>
            <w:r w:rsidRPr="00CE42C7">
              <w:rPr>
                <w:rFonts w:ascii="Arial" w:hAnsi="Arial" w:cs="Arial"/>
                <w:color w:val="000000"/>
                <w:sz w:val="16"/>
                <w:szCs w:val="16"/>
              </w:rPr>
              <w:t>Ermelindo</w:t>
            </w:r>
            <w:proofErr w:type="spellEnd"/>
            <w:r w:rsidRPr="00CE42C7">
              <w:rPr>
                <w:rFonts w:ascii="Arial" w:hAnsi="Arial" w:cs="Arial"/>
                <w:color w:val="000000"/>
                <w:sz w:val="16"/>
                <w:szCs w:val="16"/>
              </w:rPr>
              <w:t xml:space="preserve"> Milani com Rua Gov. Osvaldo </w:t>
            </w:r>
            <w:proofErr w:type="spellStart"/>
            <w:r w:rsidRPr="00CE42C7">
              <w:rPr>
                <w:rFonts w:ascii="Arial" w:hAnsi="Arial" w:cs="Arial"/>
                <w:color w:val="000000"/>
                <w:sz w:val="16"/>
                <w:szCs w:val="16"/>
              </w:rPr>
              <w:t>Piana</w:t>
            </w:r>
            <w:proofErr w:type="spellEnd"/>
            <w:r w:rsidRPr="00CE42C7">
              <w:rPr>
                <w:rFonts w:ascii="Arial" w:hAnsi="Arial" w:cs="Arial"/>
                <w:color w:val="000000"/>
                <w:sz w:val="16"/>
                <w:szCs w:val="16"/>
              </w:rPr>
              <w:t xml:space="preserve"> Filho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9°42'16.32</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62°53'55.86</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38.2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01476</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Primavera de Rondônia</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Primavera de Rondônia</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Tiradentes com Rua Francisco Soares</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11°49'49.56</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61°19'8.95</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55.2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r w:rsidR="00CE42C7" w:rsidRPr="00CE42C7" w:rsidTr="00CE42C7">
        <w:trPr>
          <w:trHeight w:val="300"/>
        </w:trPr>
        <w:tc>
          <w:tcPr>
            <w:tcW w:w="487" w:type="pct"/>
            <w:tcBorders>
              <w:top w:val="nil"/>
              <w:left w:val="single" w:sz="4" w:space="0" w:color="auto"/>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01468</w:t>
            </w:r>
          </w:p>
        </w:tc>
        <w:tc>
          <w:tcPr>
            <w:tcW w:w="557"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Pimenteiras do Oeste</w:t>
            </w:r>
          </w:p>
        </w:tc>
        <w:tc>
          <w:tcPr>
            <w:tcW w:w="742"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Praça de Pimenteiras do Oeste</w:t>
            </w:r>
          </w:p>
        </w:tc>
        <w:tc>
          <w:tcPr>
            <w:tcW w:w="1020"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Av. Brasil com Rua Porto Velho</w:t>
            </w:r>
          </w:p>
        </w:tc>
        <w:tc>
          <w:tcPr>
            <w:tcW w:w="464"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r w:rsidRPr="00CE42C7">
              <w:rPr>
                <w:rFonts w:ascii="Arial" w:hAnsi="Arial" w:cs="Arial"/>
                <w:color w:val="000000"/>
                <w:sz w:val="16"/>
                <w:szCs w:val="16"/>
              </w:rPr>
              <w:t xml:space="preserve"> 13°29'2.27</w:t>
            </w:r>
            <w:proofErr w:type="gramStart"/>
            <w:r w:rsidRPr="00CE42C7">
              <w:rPr>
                <w:rFonts w:ascii="Arial" w:hAnsi="Arial" w:cs="Arial"/>
                <w:color w:val="000000"/>
                <w:sz w:val="16"/>
                <w:szCs w:val="16"/>
              </w:rPr>
              <w:t>"S</w:t>
            </w:r>
          </w:p>
        </w:tc>
        <w:tc>
          <w:tcPr>
            <w:tcW w:w="556"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End"/>
            <w:r w:rsidRPr="00CE42C7">
              <w:rPr>
                <w:rFonts w:ascii="Arial" w:hAnsi="Arial" w:cs="Arial"/>
                <w:color w:val="000000"/>
                <w:sz w:val="16"/>
                <w:szCs w:val="16"/>
              </w:rPr>
              <w:t xml:space="preserve"> 61° 2'51.01</w:t>
            </w:r>
            <w:proofErr w:type="gramStart"/>
            <w:r w:rsidRPr="00CE42C7">
              <w:rPr>
                <w:rFonts w:ascii="Arial" w:hAnsi="Arial" w:cs="Arial"/>
                <w:color w:val="000000"/>
                <w:sz w:val="16"/>
                <w:szCs w:val="16"/>
              </w:rPr>
              <w:t>"W</w:t>
            </w:r>
          </w:p>
        </w:tc>
        <w:tc>
          <w:tcPr>
            <w:tcW w:w="278"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jc w:val="right"/>
              <w:rPr>
                <w:rFonts w:ascii="Arial" w:hAnsi="Arial" w:cs="Arial"/>
                <w:color w:val="000000"/>
                <w:sz w:val="16"/>
                <w:szCs w:val="16"/>
              </w:rPr>
            </w:pPr>
            <w:proofErr w:type="gramEnd"/>
            <w:r w:rsidRPr="00CE42C7">
              <w:rPr>
                <w:rFonts w:ascii="Arial" w:hAnsi="Arial" w:cs="Arial"/>
                <w:color w:val="000000"/>
                <w:sz w:val="16"/>
                <w:szCs w:val="16"/>
              </w:rPr>
              <w:t>83.2</w:t>
            </w:r>
          </w:p>
        </w:tc>
        <w:tc>
          <w:tcPr>
            <w:tcW w:w="371" w:type="pct"/>
            <w:tcBorders>
              <w:top w:val="nil"/>
              <w:left w:val="nil"/>
              <w:bottom w:val="single" w:sz="4" w:space="0" w:color="auto"/>
              <w:right w:val="single" w:sz="4" w:space="0" w:color="auto"/>
            </w:tcBorders>
            <w:shd w:val="clear" w:color="auto" w:fill="auto"/>
            <w:noWrap/>
            <w:vAlign w:val="bottom"/>
            <w:hideMark/>
          </w:tcPr>
          <w:p w:rsidR="00CE42C7" w:rsidRPr="00CE42C7" w:rsidRDefault="00CE42C7" w:rsidP="00CE42C7">
            <w:pPr>
              <w:rPr>
                <w:rFonts w:ascii="Arial" w:hAnsi="Arial" w:cs="Arial"/>
                <w:color w:val="000000"/>
                <w:sz w:val="16"/>
                <w:szCs w:val="16"/>
              </w:rPr>
            </w:pPr>
            <w:proofErr w:type="gramStart"/>
            <w:r w:rsidRPr="00CE42C7">
              <w:rPr>
                <w:rFonts w:ascii="Arial" w:hAnsi="Arial" w:cs="Arial"/>
                <w:color w:val="000000"/>
                <w:sz w:val="16"/>
                <w:szCs w:val="16"/>
              </w:rPr>
              <w:t>2</w:t>
            </w:r>
            <w:proofErr w:type="gramEnd"/>
            <w:r w:rsidRPr="00CE42C7">
              <w:rPr>
                <w:rFonts w:ascii="Arial" w:hAnsi="Arial" w:cs="Arial"/>
                <w:color w:val="000000"/>
                <w:sz w:val="16"/>
                <w:szCs w:val="16"/>
              </w:rPr>
              <w:t xml:space="preserve"> </w:t>
            </w:r>
            <w:proofErr w:type="spellStart"/>
            <w:r w:rsidRPr="00CE42C7">
              <w:rPr>
                <w:rFonts w:ascii="Arial" w:hAnsi="Arial" w:cs="Arial"/>
                <w:color w:val="000000"/>
                <w:sz w:val="16"/>
                <w:szCs w:val="16"/>
              </w:rPr>
              <w:t>Mbps</w:t>
            </w:r>
            <w:proofErr w:type="spellEnd"/>
          </w:p>
        </w:tc>
        <w:tc>
          <w:tcPr>
            <w:tcW w:w="524" w:type="pct"/>
            <w:tcBorders>
              <w:top w:val="nil"/>
              <w:left w:val="nil"/>
              <w:bottom w:val="single" w:sz="4" w:space="0" w:color="auto"/>
              <w:right w:val="single" w:sz="4" w:space="0" w:color="auto"/>
            </w:tcBorders>
            <w:vAlign w:val="bottom"/>
          </w:tcPr>
          <w:p w:rsidR="00CE42C7" w:rsidRPr="00CE42C7" w:rsidRDefault="00CE42C7" w:rsidP="00CE42C7">
            <w:pPr>
              <w:jc w:val="center"/>
              <w:rPr>
                <w:rFonts w:ascii="Arial" w:hAnsi="Arial" w:cs="Arial"/>
                <w:color w:val="000000"/>
                <w:sz w:val="16"/>
                <w:szCs w:val="16"/>
              </w:rPr>
            </w:pPr>
            <w:r w:rsidRPr="00CE42C7">
              <w:rPr>
                <w:rFonts w:ascii="Arial" w:hAnsi="Arial" w:cs="Arial"/>
                <w:color w:val="000000"/>
                <w:sz w:val="16"/>
                <w:szCs w:val="16"/>
              </w:rPr>
              <w:t>30</w:t>
            </w:r>
          </w:p>
        </w:tc>
      </w:tr>
    </w:tbl>
    <w:p w:rsidR="00CE42C7" w:rsidRPr="00CE42C7" w:rsidRDefault="00CE42C7" w:rsidP="00CE42C7">
      <w:pPr>
        <w:pStyle w:val="PargrafodaLista"/>
        <w:ind w:left="360"/>
        <w:rPr>
          <w:rFonts w:ascii="Arial" w:hAnsi="Arial" w:cs="Arial"/>
          <w:sz w:val="16"/>
          <w:szCs w:val="16"/>
        </w:rPr>
      </w:pPr>
    </w:p>
    <w:p w:rsidR="00CE42C7" w:rsidRPr="009055CB" w:rsidRDefault="00CE42C7" w:rsidP="009055CB">
      <w:pPr>
        <w:jc w:val="both"/>
        <w:rPr>
          <w:rFonts w:ascii="Arial" w:hAnsi="Arial" w:cs="Arial"/>
          <w:sz w:val="16"/>
          <w:szCs w:val="16"/>
        </w:rPr>
      </w:pPr>
    </w:p>
    <w:p w:rsidR="00DF4AF8" w:rsidRPr="00DF4AF8" w:rsidRDefault="00DF4AF8" w:rsidP="00DF4AF8">
      <w:pPr>
        <w:pStyle w:val="Corpodetexto3"/>
        <w:tabs>
          <w:tab w:val="left" w:pos="900"/>
        </w:tabs>
        <w:ind w:right="47"/>
        <w:rPr>
          <w:rFonts w:ascii="Arial" w:hAnsi="Arial" w:cs="Arial"/>
          <w:sz w:val="16"/>
          <w:szCs w:val="16"/>
        </w:rPr>
      </w:pPr>
    </w:p>
    <w:p w:rsidR="00DF4AF8" w:rsidRPr="00CE42C7" w:rsidRDefault="00DF4AF8" w:rsidP="00CE42C7">
      <w:pPr>
        <w:pStyle w:val="Recuodecorpodetexto3"/>
        <w:numPr>
          <w:ilvl w:val="1"/>
          <w:numId w:val="2"/>
        </w:numPr>
        <w:spacing w:after="0"/>
        <w:rPr>
          <w:b/>
          <w:sz w:val="16"/>
          <w:szCs w:val="16"/>
        </w:rPr>
      </w:pPr>
      <w:r w:rsidRPr="00DF4AF8">
        <w:rPr>
          <w:b/>
          <w:sz w:val="16"/>
          <w:szCs w:val="16"/>
        </w:rPr>
        <w:t xml:space="preserve">DO RECEBIMENTO: </w:t>
      </w:r>
    </w:p>
    <w:p w:rsidR="00DF4AF8" w:rsidRDefault="00DF4AF8" w:rsidP="00DF4AF8">
      <w:pPr>
        <w:pStyle w:val="Recuodecorpodetexto3"/>
        <w:spacing w:after="0"/>
        <w:ind w:left="360"/>
        <w:rPr>
          <w:b/>
          <w:sz w:val="16"/>
          <w:szCs w:val="16"/>
        </w:rPr>
      </w:pPr>
      <w:r w:rsidRPr="00DF4AF8">
        <w:rPr>
          <w:sz w:val="16"/>
          <w:szCs w:val="16"/>
        </w:rPr>
        <w:t>Os bens e serviços serão recebidos definitivamente no prazo de 60(sessenta) dias, contados do recebimento provisório, após a verificação da qualidade e quantidade do material e consequente aceitação mediante termo circunstanciado.</w:t>
      </w:r>
    </w:p>
    <w:p w:rsidR="00DF4AF8" w:rsidRDefault="00DF4AF8" w:rsidP="00DF4AF8">
      <w:pPr>
        <w:pStyle w:val="Recuodecorpodetexto3"/>
        <w:spacing w:after="0"/>
        <w:ind w:left="360"/>
        <w:rPr>
          <w:b/>
          <w:sz w:val="16"/>
          <w:szCs w:val="16"/>
        </w:rPr>
      </w:pPr>
      <w:r w:rsidRPr="00DF4AF8">
        <w:rPr>
          <w:sz w:val="16"/>
          <w:szCs w:val="16"/>
        </w:rPr>
        <w:t>Na hipótese de a verificação a que se refere o subitem anterior não ser procedida dentro do prazo fixado, reputar-se-á como realizada, consumando-se o recebimento definitivo no dia do esgotamento do prazo.</w:t>
      </w:r>
    </w:p>
    <w:p w:rsidR="00DF4AF8" w:rsidRDefault="00DF4AF8" w:rsidP="00DF4AF8">
      <w:pPr>
        <w:pStyle w:val="Recuodecorpodetexto3"/>
        <w:spacing w:after="0"/>
        <w:ind w:left="360"/>
        <w:rPr>
          <w:b/>
          <w:sz w:val="16"/>
          <w:szCs w:val="16"/>
        </w:rPr>
      </w:pPr>
      <w:r w:rsidRPr="00DF4AF8">
        <w:rPr>
          <w:sz w:val="16"/>
          <w:szCs w:val="16"/>
        </w:rPr>
        <w:t>O recebimento provisório ou definitivo do objeto não exclui a responsabilidade da contratada pelos prejuízos resultantes da incorreta execução do contrato.</w:t>
      </w:r>
    </w:p>
    <w:p w:rsidR="00DF4AF8" w:rsidRDefault="00DF4AF8" w:rsidP="00DF4AF8">
      <w:pPr>
        <w:pStyle w:val="Recuodecorpodetexto3"/>
        <w:spacing w:after="0"/>
        <w:ind w:left="360"/>
        <w:rPr>
          <w:b/>
          <w:sz w:val="16"/>
          <w:szCs w:val="16"/>
        </w:rPr>
      </w:pPr>
      <w:r w:rsidRPr="00DF4AF8">
        <w:rPr>
          <w:sz w:val="16"/>
          <w:szCs w:val="16"/>
        </w:rPr>
        <w:t>Caso seja necessário novas instalações ou mudança de endereço em locais não previstos no anexo III deste termo de referencia, ficará sujeito à viabilidade técnica, facultando à contratada a aceitação da nova instalação ou mudança de endereço. Caso haja viabilidade técnica, os custos de mudança de endereço serão considerados os mesmos da taxa de instalação.</w:t>
      </w:r>
    </w:p>
    <w:p w:rsidR="00DF4AF8" w:rsidRPr="00DF4AF8" w:rsidRDefault="00DF4AF8" w:rsidP="00DF4AF8">
      <w:pPr>
        <w:pStyle w:val="Recuodecorpodetexto3"/>
        <w:spacing w:after="0"/>
        <w:ind w:left="360"/>
        <w:rPr>
          <w:b/>
          <w:sz w:val="16"/>
          <w:szCs w:val="16"/>
        </w:rPr>
      </w:pPr>
      <w:r w:rsidRPr="00DF4AF8">
        <w:rPr>
          <w:sz w:val="16"/>
          <w:szCs w:val="16"/>
        </w:rPr>
        <w:t>A CONTRATADA é responsável por todas as providências técnicas, estruturais e regulatórias necessárias para prestação dos serviços, que garantam à qualidade do sinal e demais condições de entrega do objeto descrito no presente termo de referência, de modo a atingir todos os níveis de serviço, especificados no item 1.3, do Anexo II deste Termo de Referência.</w:t>
      </w:r>
    </w:p>
    <w:p w:rsidR="00027613" w:rsidRPr="00027613" w:rsidRDefault="00027613" w:rsidP="00B73180">
      <w:pPr>
        <w:pStyle w:val="PargrafodaLista"/>
        <w:tabs>
          <w:tab w:val="left" w:pos="0"/>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9055CB" w:rsidRPr="00850BB0" w:rsidRDefault="009055CB"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055CB" w:rsidRPr="00183393" w:rsidRDefault="009055CB" w:rsidP="008E4E8A">
      <w:pPr>
        <w:pStyle w:val="NormalWeb"/>
        <w:spacing w:before="0" w:beforeAutospacing="0" w:after="0" w:afterAutospacing="0"/>
        <w:ind w:left="360"/>
        <w:jc w:val="both"/>
        <w:rPr>
          <w:rFonts w:ascii="Arial" w:hAnsi="Arial" w:cs="Arial"/>
          <w:sz w:val="16"/>
          <w:szCs w:val="16"/>
        </w:rPr>
      </w:pPr>
    </w:p>
    <w:p w:rsidR="00C93C3C" w:rsidRDefault="009D2314" w:rsidP="00C93C3C">
      <w:pPr>
        <w:pStyle w:val="Lista2"/>
        <w:numPr>
          <w:ilvl w:val="0"/>
          <w:numId w:val="4"/>
        </w:numPr>
        <w:jc w:val="both"/>
        <w:rPr>
          <w:b/>
          <w:bCs/>
          <w:sz w:val="16"/>
          <w:szCs w:val="16"/>
        </w:rPr>
      </w:pPr>
      <w:r w:rsidRPr="00183393">
        <w:rPr>
          <w:b/>
          <w:bCs/>
          <w:sz w:val="16"/>
          <w:szCs w:val="16"/>
        </w:rPr>
        <w:t>DAS SANÇÕES NO CASO DE INADIMPLÊNCIA E DO CANCELAMENTO DO REGISTRO DE PREÇOS</w:t>
      </w:r>
    </w:p>
    <w:p w:rsidR="008E4E8A" w:rsidRPr="004F57DA" w:rsidRDefault="008E4E8A" w:rsidP="00C93C3C">
      <w:pPr>
        <w:pStyle w:val="Lista2"/>
        <w:ind w:left="360" w:firstLine="0"/>
        <w:jc w:val="both"/>
        <w:rPr>
          <w:b/>
          <w:bCs/>
          <w:i/>
          <w:sz w:val="16"/>
          <w:szCs w:val="16"/>
        </w:rPr>
      </w:pPr>
      <w:r w:rsidRPr="004F57DA">
        <w:rPr>
          <w:b/>
          <w:bCs/>
          <w:sz w:val="16"/>
          <w:szCs w:val="16"/>
        </w:rPr>
        <w:t xml:space="preserve"> </w:t>
      </w:r>
    </w:p>
    <w:p w:rsidR="00C93C3C" w:rsidRPr="00CE42C7" w:rsidRDefault="00C93C3C" w:rsidP="000E7662">
      <w:pPr>
        <w:tabs>
          <w:tab w:val="left" w:pos="284"/>
          <w:tab w:val="left" w:pos="426"/>
          <w:tab w:val="left" w:pos="567"/>
        </w:tabs>
        <w:spacing w:before="120" w:line="360" w:lineRule="auto"/>
        <w:jc w:val="both"/>
        <w:rPr>
          <w:rFonts w:ascii="Arial" w:hAnsi="Arial" w:cs="Arial"/>
          <w:b/>
          <w:bCs/>
          <w:i/>
          <w:sz w:val="16"/>
          <w:szCs w:val="16"/>
          <w:lang w:eastAsia="zh-CN"/>
        </w:rPr>
      </w:pPr>
      <w:r w:rsidRPr="00CE42C7">
        <w:rPr>
          <w:rFonts w:ascii="Arial" w:hAnsi="Arial" w:cs="Arial"/>
          <w:b/>
          <w:bCs/>
          <w:i/>
          <w:sz w:val="16"/>
          <w:szCs w:val="16"/>
        </w:rPr>
        <w:t>(art. 40, inciso III da Lei 8.666/93; art. 9º, V c/c § 2º do Decreto 5450/05; art. 3º, I, Lei 10520/02</w:t>
      </w:r>
      <w:proofErr w:type="gramStart"/>
      <w:r w:rsidRPr="00CE42C7">
        <w:rPr>
          <w:rFonts w:ascii="Arial" w:hAnsi="Arial" w:cs="Arial"/>
          <w:b/>
          <w:bCs/>
          <w:i/>
          <w:sz w:val="16"/>
          <w:szCs w:val="16"/>
        </w:rPr>
        <w:t>)</w:t>
      </w:r>
      <w:proofErr w:type="gramEnd"/>
    </w:p>
    <w:p w:rsidR="00CE42C7" w:rsidRPr="00CE42C7" w:rsidRDefault="00CE42C7" w:rsidP="00CE42C7">
      <w:pPr>
        <w:pStyle w:val="A2"/>
        <w:numPr>
          <w:ilvl w:val="1"/>
          <w:numId w:val="31"/>
        </w:numPr>
        <w:spacing w:line="240" w:lineRule="auto"/>
        <w:rPr>
          <w:sz w:val="16"/>
          <w:szCs w:val="16"/>
        </w:rPr>
      </w:pPr>
      <w:r w:rsidRPr="00CE42C7">
        <w:rPr>
          <w:sz w:val="16"/>
          <w:szCs w:val="16"/>
        </w:rPr>
        <w:t>Comete infração administrativa nos termos da Lei nº 8.666, de 1993 e da Lei nº 10.520, de 2002, a Contratada que:</w:t>
      </w:r>
    </w:p>
    <w:p w:rsidR="00CE42C7" w:rsidRPr="00CE42C7" w:rsidRDefault="00CE42C7" w:rsidP="00CE42C7">
      <w:pPr>
        <w:pStyle w:val="A3i"/>
        <w:tabs>
          <w:tab w:val="clear" w:pos="1572"/>
        </w:tabs>
        <w:spacing w:line="240" w:lineRule="auto"/>
        <w:ind w:left="568" w:firstLine="1133"/>
        <w:rPr>
          <w:i/>
          <w:sz w:val="16"/>
          <w:szCs w:val="16"/>
        </w:rPr>
      </w:pPr>
      <w:proofErr w:type="spellStart"/>
      <w:proofErr w:type="gramStart"/>
      <w:r w:rsidRPr="00CE42C7">
        <w:rPr>
          <w:i/>
          <w:sz w:val="16"/>
          <w:szCs w:val="16"/>
        </w:rPr>
        <w:t>inexecutar</w:t>
      </w:r>
      <w:proofErr w:type="spellEnd"/>
      <w:proofErr w:type="gramEnd"/>
      <w:r w:rsidRPr="00CE42C7">
        <w:rPr>
          <w:i/>
          <w:sz w:val="16"/>
          <w:szCs w:val="16"/>
        </w:rPr>
        <w:t xml:space="preserve"> total ou parcialmente qualquer das obrigações assumidas em decorrência da contratação;</w:t>
      </w:r>
    </w:p>
    <w:p w:rsidR="00CE42C7" w:rsidRPr="00CE42C7" w:rsidRDefault="00CE42C7" w:rsidP="00CE42C7">
      <w:pPr>
        <w:pStyle w:val="A3i"/>
        <w:tabs>
          <w:tab w:val="clear" w:pos="1572"/>
        </w:tabs>
        <w:spacing w:line="240" w:lineRule="auto"/>
        <w:ind w:left="1701" w:firstLine="0"/>
        <w:rPr>
          <w:i/>
          <w:sz w:val="16"/>
          <w:szCs w:val="16"/>
        </w:rPr>
      </w:pPr>
      <w:proofErr w:type="gramStart"/>
      <w:r w:rsidRPr="00CE42C7">
        <w:rPr>
          <w:i/>
          <w:sz w:val="16"/>
          <w:szCs w:val="16"/>
        </w:rPr>
        <w:t>ensejar</w:t>
      </w:r>
      <w:proofErr w:type="gramEnd"/>
      <w:r w:rsidRPr="00CE42C7">
        <w:rPr>
          <w:i/>
          <w:sz w:val="16"/>
          <w:szCs w:val="16"/>
        </w:rPr>
        <w:t xml:space="preserve"> o retardamento da execução do objeto deste Termo  de Referência;</w:t>
      </w:r>
    </w:p>
    <w:p w:rsidR="00CE42C7" w:rsidRPr="00CE42C7" w:rsidRDefault="00CE42C7" w:rsidP="00CE42C7">
      <w:pPr>
        <w:pStyle w:val="A3i"/>
        <w:tabs>
          <w:tab w:val="clear" w:pos="1572"/>
        </w:tabs>
        <w:spacing w:line="240" w:lineRule="auto"/>
        <w:ind w:left="1701" w:firstLine="0"/>
        <w:rPr>
          <w:i/>
          <w:sz w:val="16"/>
          <w:szCs w:val="16"/>
        </w:rPr>
      </w:pPr>
      <w:proofErr w:type="gramStart"/>
      <w:r w:rsidRPr="00CE42C7">
        <w:rPr>
          <w:i/>
          <w:sz w:val="16"/>
          <w:szCs w:val="16"/>
        </w:rPr>
        <w:t>fraudar</w:t>
      </w:r>
      <w:proofErr w:type="gramEnd"/>
      <w:r w:rsidRPr="00CE42C7">
        <w:rPr>
          <w:i/>
          <w:sz w:val="16"/>
          <w:szCs w:val="16"/>
        </w:rPr>
        <w:t xml:space="preserve"> na execução do contrato;</w:t>
      </w:r>
    </w:p>
    <w:p w:rsidR="00CE42C7" w:rsidRPr="00CE42C7" w:rsidRDefault="00CE42C7" w:rsidP="00CE42C7">
      <w:pPr>
        <w:pStyle w:val="A3i"/>
        <w:tabs>
          <w:tab w:val="clear" w:pos="1572"/>
        </w:tabs>
        <w:spacing w:line="240" w:lineRule="auto"/>
        <w:ind w:left="1701" w:firstLine="0"/>
        <w:rPr>
          <w:i/>
          <w:sz w:val="16"/>
          <w:szCs w:val="16"/>
        </w:rPr>
      </w:pPr>
      <w:proofErr w:type="gramStart"/>
      <w:r w:rsidRPr="00CE42C7">
        <w:rPr>
          <w:i/>
          <w:sz w:val="16"/>
          <w:szCs w:val="16"/>
        </w:rPr>
        <w:t>comportar</w:t>
      </w:r>
      <w:proofErr w:type="gramEnd"/>
      <w:r w:rsidRPr="00CE42C7">
        <w:rPr>
          <w:i/>
          <w:sz w:val="16"/>
          <w:szCs w:val="16"/>
        </w:rPr>
        <w:t>-se de modo inidôneo;</w:t>
      </w:r>
    </w:p>
    <w:p w:rsidR="00CE42C7" w:rsidRPr="00CE42C7" w:rsidRDefault="00CE42C7" w:rsidP="00CE42C7">
      <w:pPr>
        <w:pStyle w:val="A3i"/>
        <w:tabs>
          <w:tab w:val="clear" w:pos="1572"/>
        </w:tabs>
        <w:spacing w:line="240" w:lineRule="auto"/>
        <w:ind w:left="1701" w:firstLine="0"/>
        <w:rPr>
          <w:i/>
          <w:sz w:val="16"/>
          <w:szCs w:val="16"/>
        </w:rPr>
      </w:pPr>
      <w:proofErr w:type="gramStart"/>
      <w:r w:rsidRPr="00CE42C7">
        <w:rPr>
          <w:i/>
          <w:sz w:val="16"/>
          <w:szCs w:val="16"/>
        </w:rPr>
        <w:t>cometer</w:t>
      </w:r>
      <w:proofErr w:type="gramEnd"/>
      <w:r w:rsidRPr="00CE42C7">
        <w:rPr>
          <w:i/>
          <w:sz w:val="16"/>
          <w:szCs w:val="16"/>
        </w:rPr>
        <w:t xml:space="preserve"> fraude fiscal;</w:t>
      </w:r>
    </w:p>
    <w:p w:rsidR="00CE42C7" w:rsidRPr="00CE42C7" w:rsidRDefault="00CE42C7" w:rsidP="00CE42C7">
      <w:pPr>
        <w:pStyle w:val="A3i"/>
        <w:tabs>
          <w:tab w:val="clear" w:pos="1572"/>
        </w:tabs>
        <w:spacing w:line="240" w:lineRule="auto"/>
        <w:ind w:left="1701" w:firstLine="0"/>
        <w:rPr>
          <w:i/>
          <w:sz w:val="16"/>
          <w:szCs w:val="16"/>
        </w:rPr>
      </w:pPr>
      <w:proofErr w:type="gramStart"/>
      <w:r w:rsidRPr="00CE42C7">
        <w:rPr>
          <w:i/>
          <w:sz w:val="16"/>
          <w:szCs w:val="16"/>
        </w:rPr>
        <w:t>não</w:t>
      </w:r>
      <w:proofErr w:type="gramEnd"/>
      <w:r w:rsidRPr="00CE42C7">
        <w:rPr>
          <w:i/>
          <w:sz w:val="16"/>
          <w:szCs w:val="16"/>
        </w:rPr>
        <w:t xml:space="preserve"> mantiver a proposta.</w:t>
      </w:r>
    </w:p>
    <w:p w:rsidR="00CE42C7" w:rsidRPr="00CE42C7" w:rsidRDefault="00CE42C7" w:rsidP="00CE42C7">
      <w:pPr>
        <w:pStyle w:val="A2"/>
        <w:numPr>
          <w:ilvl w:val="1"/>
          <w:numId w:val="31"/>
        </w:numPr>
        <w:spacing w:line="240" w:lineRule="auto"/>
        <w:rPr>
          <w:sz w:val="16"/>
          <w:szCs w:val="16"/>
        </w:rPr>
      </w:pPr>
      <w:r w:rsidRPr="00CE42C7">
        <w:rPr>
          <w:sz w:val="16"/>
          <w:szCs w:val="16"/>
        </w:rPr>
        <w:t>A Contratada que cometer qualquer das infrações discriminadas no subitem acima ficará sujeita, sem prejuízo da responsabilidade civil e criminal, às seguintes sanções:</w:t>
      </w:r>
    </w:p>
    <w:p w:rsidR="00CE42C7" w:rsidRPr="00CE42C7" w:rsidRDefault="00CE42C7" w:rsidP="00CE42C7">
      <w:pPr>
        <w:pStyle w:val="A3i"/>
        <w:tabs>
          <w:tab w:val="clear" w:pos="1572"/>
        </w:tabs>
        <w:spacing w:line="240" w:lineRule="auto"/>
        <w:ind w:left="1701" w:firstLine="0"/>
        <w:rPr>
          <w:i/>
          <w:sz w:val="16"/>
          <w:szCs w:val="16"/>
        </w:rPr>
      </w:pPr>
      <w:r w:rsidRPr="00CE42C7">
        <w:rPr>
          <w:i/>
          <w:sz w:val="16"/>
          <w:szCs w:val="16"/>
        </w:rPr>
        <w:t>Advertência por faltas leves, assim entendidas aquelas que não acarretem prejuízos significativos para a Contratante;</w:t>
      </w:r>
    </w:p>
    <w:p w:rsidR="00CE42C7" w:rsidRPr="00CE42C7" w:rsidRDefault="00CE42C7" w:rsidP="00CE42C7">
      <w:pPr>
        <w:pStyle w:val="A3i"/>
        <w:tabs>
          <w:tab w:val="clear" w:pos="1572"/>
        </w:tabs>
        <w:spacing w:line="240" w:lineRule="auto"/>
        <w:ind w:left="1701" w:firstLine="0"/>
        <w:rPr>
          <w:i/>
          <w:sz w:val="16"/>
          <w:szCs w:val="16"/>
        </w:rPr>
      </w:pPr>
      <w:proofErr w:type="gramStart"/>
      <w:r w:rsidRPr="00CE42C7">
        <w:rPr>
          <w:i/>
          <w:sz w:val="16"/>
          <w:szCs w:val="16"/>
        </w:rPr>
        <w:t>pela</w:t>
      </w:r>
      <w:proofErr w:type="gramEnd"/>
      <w:r w:rsidRPr="00CE42C7">
        <w:rPr>
          <w:i/>
          <w:sz w:val="16"/>
          <w:szCs w:val="16"/>
        </w:rPr>
        <w:t xml:space="preserve"> inexecução total ou parcial do contrato, a DETIC/SEAE/RO poderá garantida a prévia defesa, aplicar à CONTRATADA as sanções previstas no artigo nº. 87 da Lei nº. 8.666/93, sendo que no caso de multa esta corresponderá a 2% sobre o valor total do contrato, limitado a 10% do valor contratual; </w:t>
      </w:r>
    </w:p>
    <w:p w:rsidR="00CE42C7" w:rsidRPr="00CE42C7" w:rsidRDefault="00CE42C7" w:rsidP="00CE42C7">
      <w:pPr>
        <w:pStyle w:val="A3i"/>
        <w:tabs>
          <w:tab w:val="clear" w:pos="1572"/>
        </w:tabs>
        <w:spacing w:line="240" w:lineRule="auto"/>
        <w:ind w:left="1701" w:firstLine="0"/>
        <w:rPr>
          <w:sz w:val="16"/>
          <w:szCs w:val="16"/>
        </w:rPr>
      </w:pPr>
      <w:r w:rsidRPr="00CE42C7">
        <w:rPr>
          <w:i/>
          <w:sz w:val="16"/>
          <w:szCs w:val="16"/>
        </w:rPr>
        <w:t xml:space="preserve">Multa de 10% (dez por cento) do valor contratual quando a contratada ceder o contrato, no todo ou em parte, a pessoa física ou jurídica, sem autorização da contratante, devendo reassumir o contrato no prazo máximo de 15 (quinze) dias, da </w:t>
      </w:r>
      <w:r w:rsidRPr="00CE42C7">
        <w:rPr>
          <w:sz w:val="16"/>
          <w:szCs w:val="16"/>
        </w:rPr>
        <w:t xml:space="preserve">data da aplicação da multa, sem prejuízo de outras sanções contratuais; </w:t>
      </w:r>
    </w:p>
    <w:p w:rsidR="00CE42C7" w:rsidRPr="00CE42C7" w:rsidRDefault="00CE42C7" w:rsidP="00CE42C7">
      <w:pPr>
        <w:pStyle w:val="A2"/>
        <w:numPr>
          <w:ilvl w:val="1"/>
          <w:numId w:val="31"/>
        </w:numPr>
        <w:spacing w:line="240" w:lineRule="auto"/>
        <w:rPr>
          <w:sz w:val="16"/>
          <w:szCs w:val="16"/>
        </w:rPr>
      </w:pPr>
      <w:r w:rsidRPr="00CE42C7">
        <w:rPr>
          <w:sz w:val="16"/>
          <w:szCs w:val="16"/>
        </w:rPr>
        <w:t>Em caso de inexecução parcial, a multa compensatória, no mesmo percentual do subitem acima, será aplicada de forma proporcional à obrigação inadimplida;</w:t>
      </w:r>
    </w:p>
    <w:p w:rsidR="00CE42C7" w:rsidRPr="00CE42C7" w:rsidRDefault="00CE42C7" w:rsidP="00CE42C7">
      <w:pPr>
        <w:pStyle w:val="A2"/>
        <w:numPr>
          <w:ilvl w:val="1"/>
          <w:numId w:val="31"/>
        </w:numPr>
        <w:spacing w:line="240" w:lineRule="auto"/>
        <w:rPr>
          <w:sz w:val="16"/>
          <w:szCs w:val="16"/>
        </w:rPr>
      </w:pPr>
      <w:r w:rsidRPr="00CE42C7">
        <w:rPr>
          <w:sz w:val="16"/>
          <w:szCs w:val="16"/>
        </w:rPr>
        <w:t xml:space="preserve">Para efeito de aplicação de multas, às infrações são atribuídos graus, em ordem crescente, de 01 a 06, conforme a gravidade da infração. Os percentuais de multa </w:t>
      </w:r>
      <w:proofErr w:type="spellStart"/>
      <w:r w:rsidRPr="00CE42C7">
        <w:rPr>
          <w:sz w:val="16"/>
          <w:szCs w:val="16"/>
        </w:rPr>
        <w:t>incidentem</w:t>
      </w:r>
      <w:proofErr w:type="spellEnd"/>
      <w:r w:rsidRPr="00CE42C7">
        <w:rPr>
          <w:sz w:val="16"/>
          <w:szCs w:val="16"/>
        </w:rPr>
        <w:t xml:space="preserve"> sobre o valor mensal do contrato, conforme descrito na tabela 01, até o 30º (trigésimo) dia de atraso no </w:t>
      </w:r>
      <w:r w:rsidRPr="00CE42C7">
        <w:rPr>
          <w:sz w:val="16"/>
          <w:szCs w:val="16"/>
        </w:rPr>
        <w:lastRenderedPageBreak/>
        <w:t>cumprimento das obrigações, que elenca apenas as principais situações previstas, não eximindo de outras equivalentes que surgirem, conforme o caso:</w:t>
      </w:r>
    </w:p>
    <w:p w:rsidR="00CE42C7" w:rsidRPr="00CE42C7" w:rsidRDefault="00CE42C7" w:rsidP="00CE42C7">
      <w:pPr>
        <w:pStyle w:val="A2"/>
        <w:spacing w:line="240" w:lineRule="auto"/>
        <w:ind w:firstLine="0"/>
        <w:rPr>
          <w:sz w:val="16"/>
          <w:szCs w:val="16"/>
        </w:rPr>
      </w:pPr>
    </w:p>
    <w:tbl>
      <w:tblPr>
        <w:tblW w:w="10909" w:type="dxa"/>
        <w:jc w:val="right"/>
        <w:tblInd w:w="-1179" w:type="dxa"/>
        <w:tblBorders>
          <w:top w:val="single" w:sz="8" w:space="0" w:color="000000"/>
          <w:left w:val="single" w:sz="8" w:space="0" w:color="000000"/>
          <w:bottom w:val="single" w:sz="8" w:space="0" w:color="000000"/>
          <w:right w:val="single" w:sz="8" w:space="0" w:color="000000"/>
        </w:tblBorders>
        <w:tblLayout w:type="fixed"/>
        <w:tblLook w:val="04A0"/>
      </w:tblPr>
      <w:tblGrid>
        <w:gridCol w:w="851"/>
        <w:gridCol w:w="7229"/>
        <w:gridCol w:w="1417"/>
        <w:gridCol w:w="1412"/>
      </w:tblGrid>
      <w:tr w:rsidR="00CE42C7" w:rsidRPr="00CE42C7" w:rsidTr="002B52E1">
        <w:trPr>
          <w:trHeight w:val="154"/>
          <w:jc w:val="right"/>
        </w:trPr>
        <w:tc>
          <w:tcPr>
            <w:tcW w:w="851" w:type="dxa"/>
            <w:tcBorders>
              <w:top w:val="outset" w:sz="6" w:space="0" w:color="auto"/>
              <w:left w:val="outset" w:sz="6" w:space="0" w:color="auto"/>
              <w:bottom w:val="outset" w:sz="6" w:space="0" w:color="auto"/>
              <w:right w:val="outset" w:sz="6" w:space="0" w:color="auto"/>
            </w:tcBorders>
            <w:shd w:val="clear" w:color="auto" w:fill="auto"/>
            <w:vAlign w:val="center"/>
          </w:tcPr>
          <w:p w:rsidR="00CE42C7" w:rsidRPr="00CE42C7" w:rsidRDefault="00CE42C7" w:rsidP="00CE42C7">
            <w:pPr>
              <w:autoSpaceDE w:val="0"/>
              <w:autoSpaceDN w:val="0"/>
              <w:adjustRightInd w:val="0"/>
              <w:ind w:left="-82" w:right="-147" w:firstLine="39"/>
              <w:rPr>
                <w:rFonts w:ascii="Arial" w:hAnsi="Arial" w:cs="Arial"/>
                <w:b/>
                <w:bCs/>
                <w:color w:val="000000"/>
                <w:sz w:val="16"/>
                <w:szCs w:val="16"/>
              </w:rPr>
            </w:pPr>
            <w:r w:rsidRPr="00CE42C7">
              <w:rPr>
                <w:rFonts w:ascii="Arial" w:hAnsi="Arial" w:cs="Arial"/>
                <w:b/>
                <w:bCs/>
                <w:color w:val="000000"/>
                <w:sz w:val="16"/>
                <w:szCs w:val="16"/>
              </w:rPr>
              <w:t>ITEM</w:t>
            </w:r>
          </w:p>
        </w:tc>
        <w:tc>
          <w:tcPr>
            <w:tcW w:w="7229" w:type="dxa"/>
            <w:tcBorders>
              <w:top w:val="outset" w:sz="6" w:space="0" w:color="auto"/>
              <w:left w:val="outset" w:sz="6" w:space="0" w:color="auto"/>
              <w:bottom w:val="outset" w:sz="6" w:space="0" w:color="auto"/>
              <w:right w:val="outset" w:sz="6" w:space="0" w:color="auto"/>
            </w:tcBorders>
            <w:shd w:val="clear" w:color="auto" w:fill="auto"/>
            <w:vAlign w:val="center"/>
          </w:tcPr>
          <w:p w:rsidR="00CE42C7" w:rsidRPr="00CE42C7" w:rsidRDefault="00CE42C7" w:rsidP="00CE42C7">
            <w:pPr>
              <w:autoSpaceDE w:val="0"/>
              <w:autoSpaceDN w:val="0"/>
              <w:adjustRightInd w:val="0"/>
              <w:ind w:firstLine="12"/>
              <w:jc w:val="center"/>
              <w:rPr>
                <w:rFonts w:ascii="Arial" w:hAnsi="Arial" w:cs="Arial"/>
                <w:b/>
                <w:bCs/>
                <w:color w:val="000000"/>
                <w:sz w:val="16"/>
                <w:szCs w:val="16"/>
              </w:rPr>
            </w:pPr>
            <w:r w:rsidRPr="00CE42C7">
              <w:rPr>
                <w:rFonts w:ascii="Arial" w:hAnsi="Arial" w:cs="Arial"/>
                <w:b/>
                <w:bCs/>
                <w:color w:val="000000"/>
                <w:sz w:val="16"/>
                <w:szCs w:val="16"/>
              </w:rPr>
              <w:t>DESCRIÇÃO DA INFRAÇÃO</w:t>
            </w:r>
          </w:p>
        </w:tc>
        <w:tc>
          <w:tcPr>
            <w:tcW w:w="1417" w:type="dxa"/>
            <w:tcBorders>
              <w:top w:val="outset" w:sz="6" w:space="0" w:color="auto"/>
              <w:left w:val="outset" w:sz="6" w:space="0" w:color="auto"/>
              <w:bottom w:val="outset" w:sz="6" w:space="0" w:color="auto"/>
              <w:right w:val="outset" w:sz="6" w:space="0" w:color="auto"/>
            </w:tcBorders>
            <w:shd w:val="clear" w:color="auto" w:fill="auto"/>
            <w:vAlign w:val="center"/>
          </w:tcPr>
          <w:p w:rsidR="00CE42C7" w:rsidRPr="00CE42C7" w:rsidRDefault="00CE42C7" w:rsidP="00CE42C7">
            <w:pPr>
              <w:autoSpaceDE w:val="0"/>
              <w:autoSpaceDN w:val="0"/>
              <w:adjustRightInd w:val="0"/>
              <w:ind w:firstLine="24"/>
              <w:jc w:val="center"/>
              <w:rPr>
                <w:rFonts w:ascii="Arial" w:hAnsi="Arial" w:cs="Arial"/>
                <w:b/>
                <w:bCs/>
                <w:color w:val="000000"/>
                <w:sz w:val="16"/>
                <w:szCs w:val="16"/>
              </w:rPr>
            </w:pPr>
            <w:r w:rsidRPr="00CE42C7">
              <w:rPr>
                <w:rFonts w:ascii="Arial" w:hAnsi="Arial" w:cs="Arial"/>
                <w:b/>
                <w:bCs/>
                <w:color w:val="000000"/>
                <w:sz w:val="16"/>
                <w:szCs w:val="16"/>
              </w:rPr>
              <w:t>GRAU</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tcPr>
          <w:p w:rsidR="00CE42C7" w:rsidRPr="00CE42C7" w:rsidRDefault="00CE42C7" w:rsidP="00CE42C7">
            <w:pPr>
              <w:autoSpaceDE w:val="0"/>
              <w:autoSpaceDN w:val="0"/>
              <w:adjustRightInd w:val="0"/>
              <w:jc w:val="center"/>
              <w:rPr>
                <w:rFonts w:ascii="Arial" w:hAnsi="Arial" w:cs="Arial"/>
                <w:b/>
                <w:bCs/>
                <w:color w:val="000000"/>
                <w:sz w:val="16"/>
                <w:szCs w:val="16"/>
              </w:rPr>
            </w:pPr>
            <w:r w:rsidRPr="00CE42C7">
              <w:rPr>
                <w:rFonts w:ascii="Arial" w:hAnsi="Arial" w:cs="Arial"/>
                <w:b/>
                <w:bCs/>
                <w:color w:val="000000"/>
                <w:sz w:val="16"/>
                <w:szCs w:val="16"/>
              </w:rPr>
              <w:t>MULTA</w:t>
            </w:r>
          </w:p>
        </w:tc>
      </w:tr>
      <w:tr w:rsidR="00CE42C7" w:rsidRPr="00CE42C7" w:rsidTr="002B52E1">
        <w:trPr>
          <w:trHeight w:val="154"/>
          <w:jc w:val="right"/>
        </w:trPr>
        <w:tc>
          <w:tcPr>
            <w:tcW w:w="851" w:type="dxa"/>
            <w:tcBorders>
              <w:top w:val="outset" w:sz="6" w:space="0" w:color="auto"/>
              <w:left w:val="single" w:sz="8" w:space="0" w:color="000000"/>
              <w:bottom w:val="single" w:sz="8" w:space="0" w:color="000000"/>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outset" w:sz="6" w:space="0" w:color="auto"/>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Permitir situação que crie a possibilidade ou cause dano físico, lesão corporal ou consequências letais; por ocorrência.</w:t>
            </w:r>
          </w:p>
        </w:tc>
        <w:tc>
          <w:tcPr>
            <w:tcW w:w="1417" w:type="dxa"/>
            <w:tcBorders>
              <w:top w:val="outset" w:sz="6" w:space="0" w:color="auto"/>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06</w:t>
            </w:r>
          </w:p>
        </w:tc>
        <w:tc>
          <w:tcPr>
            <w:tcW w:w="1412" w:type="dxa"/>
            <w:tcBorders>
              <w:top w:val="outset" w:sz="6" w:space="0" w:color="auto"/>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4,0% por dia</w:t>
            </w:r>
          </w:p>
        </w:tc>
      </w:tr>
      <w:tr w:rsidR="00CE42C7" w:rsidRPr="00CE42C7" w:rsidTr="002B52E1">
        <w:trPr>
          <w:trHeight w:val="641"/>
          <w:jc w:val="right"/>
        </w:trPr>
        <w:tc>
          <w:tcPr>
            <w:tcW w:w="851" w:type="dxa"/>
            <w:tcBorders>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Usar indevidamente informações sigilosas a que teve acesso;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06</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4,0% por dia</w:t>
            </w:r>
          </w:p>
        </w:tc>
      </w:tr>
      <w:tr w:rsidR="00CE42C7" w:rsidRPr="00CE42C7" w:rsidTr="002B52E1">
        <w:trPr>
          <w:trHeight w:val="154"/>
          <w:jc w:val="right"/>
        </w:trPr>
        <w:tc>
          <w:tcPr>
            <w:tcW w:w="851"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Suspender ou interromper, salvo por motivo de força maior ou caso fortuito, os serviços contratuais por dia e por localidade.</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05</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3,2% por dia</w:t>
            </w:r>
          </w:p>
        </w:tc>
      </w:tr>
      <w:tr w:rsidR="00CE42C7" w:rsidRPr="00CE42C7" w:rsidTr="002B52E1">
        <w:trPr>
          <w:trHeight w:val="154"/>
          <w:jc w:val="right"/>
        </w:trPr>
        <w:tc>
          <w:tcPr>
            <w:tcW w:w="851" w:type="dxa"/>
            <w:tcBorders>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Destruir ou danificar documentos por culpa ou dolo de seus agentes;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05</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3,2% por dia</w:t>
            </w:r>
          </w:p>
        </w:tc>
      </w:tr>
      <w:tr w:rsidR="00CE42C7" w:rsidRPr="00CE42C7" w:rsidTr="002B52E1">
        <w:trPr>
          <w:trHeight w:val="154"/>
          <w:jc w:val="right"/>
        </w:trPr>
        <w:tc>
          <w:tcPr>
            <w:tcW w:w="851"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Recusar-se a executar serviço determinado pela FISCALIZAÇÃO, sem motivo justificado;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04</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1,6% por dia</w:t>
            </w:r>
          </w:p>
        </w:tc>
      </w:tr>
      <w:tr w:rsidR="00CE42C7" w:rsidRPr="00CE42C7" w:rsidTr="002B52E1">
        <w:trPr>
          <w:trHeight w:val="154"/>
          <w:jc w:val="right"/>
        </w:trPr>
        <w:tc>
          <w:tcPr>
            <w:tcW w:w="851" w:type="dxa"/>
            <w:tcBorders>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Executar serviço incompleto, paliativo substitutivo como por caráter permanente, ou deixar de providenciar recomposição complementar;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02</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0,4% por dia</w:t>
            </w:r>
          </w:p>
        </w:tc>
      </w:tr>
      <w:tr w:rsidR="00CE42C7" w:rsidRPr="00CE42C7" w:rsidTr="002B52E1">
        <w:trPr>
          <w:trHeight w:val="154"/>
          <w:jc w:val="right"/>
        </w:trPr>
        <w:tc>
          <w:tcPr>
            <w:tcW w:w="851"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Fornecer informação pérfida de serviço ou substituição de equipamento/software;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02</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0,4% por dia</w:t>
            </w:r>
          </w:p>
        </w:tc>
      </w:tr>
      <w:tr w:rsidR="00CE42C7" w:rsidRPr="00CE42C7" w:rsidTr="002B52E1">
        <w:trPr>
          <w:trHeight w:val="154"/>
          <w:jc w:val="right"/>
        </w:trPr>
        <w:tc>
          <w:tcPr>
            <w:tcW w:w="10909" w:type="dxa"/>
            <w:gridSpan w:val="4"/>
            <w:tcBorders>
              <w:top w:val="single" w:sz="8" w:space="0" w:color="000000"/>
              <w:bottom w:val="single" w:sz="8" w:space="0" w:color="000000"/>
            </w:tcBorders>
            <w:vAlign w:val="center"/>
          </w:tcPr>
          <w:p w:rsidR="00CE42C7" w:rsidRPr="00CE42C7" w:rsidRDefault="00CE42C7" w:rsidP="00CE42C7">
            <w:pPr>
              <w:autoSpaceDE w:val="0"/>
              <w:autoSpaceDN w:val="0"/>
              <w:adjustRightInd w:val="0"/>
              <w:ind w:firstLine="33"/>
              <w:rPr>
                <w:rFonts w:ascii="Arial" w:hAnsi="Arial" w:cs="Arial"/>
                <w:b/>
                <w:bCs/>
                <w:color w:val="000000"/>
                <w:sz w:val="16"/>
                <w:szCs w:val="16"/>
              </w:rPr>
            </w:pPr>
            <w:r w:rsidRPr="00CE42C7">
              <w:rPr>
                <w:rFonts w:ascii="Arial" w:hAnsi="Arial" w:cs="Arial"/>
                <w:b/>
                <w:bCs/>
                <w:color w:val="000000"/>
                <w:sz w:val="16"/>
                <w:szCs w:val="16"/>
              </w:rPr>
              <w:t xml:space="preserve">                               Para os itens a seguir, deixar de:</w:t>
            </w:r>
          </w:p>
        </w:tc>
      </w:tr>
      <w:tr w:rsidR="00CE42C7" w:rsidRPr="00CE42C7" w:rsidTr="002B52E1">
        <w:trPr>
          <w:trHeight w:val="154"/>
          <w:jc w:val="right"/>
        </w:trPr>
        <w:tc>
          <w:tcPr>
            <w:tcW w:w="851" w:type="dxa"/>
            <w:tcBorders>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05</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color w:val="000000"/>
                <w:sz w:val="16"/>
                <w:szCs w:val="16"/>
              </w:rPr>
            </w:pPr>
            <w:r w:rsidRPr="00CE42C7">
              <w:rPr>
                <w:rFonts w:ascii="Arial" w:hAnsi="Arial" w:cs="Arial"/>
                <w:bCs/>
                <w:color w:val="000000"/>
                <w:sz w:val="16"/>
                <w:szCs w:val="16"/>
              </w:rPr>
              <w:t>3,2% por dia</w:t>
            </w:r>
          </w:p>
        </w:tc>
      </w:tr>
      <w:tr w:rsidR="00CE42C7" w:rsidRPr="00CE42C7" w:rsidTr="002B52E1">
        <w:trPr>
          <w:trHeight w:val="852"/>
          <w:jc w:val="right"/>
        </w:trPr>
        <w:tc>
          <w:tcPr>
            <w:tcW w:w="851" w:type="dxa"/>
            <w:tcBorders>
              <w:top w:val="single" w:sz="8" w:space="0" w:color="000000"/>
              <w:left w:val="single" w:sz="8" w:space="0" w:color="000000"/>
              <w:bottom w:val="single" w:sz="4" w:space="0" w:color="auto"/>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03</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0,8% por dia</w:t>
            </w:r>
          </w:p>
        </w:tc>
      </w:tr>
      <w:tr w:rsidR="00CE42C7" w:rsidRPr="00CE42C7" w:rsidTr="002B52E1">
        <w:trPr>
          <w:trHeight w:val="588"/>
          <w:jc w:val="right"/>
        </w:trPr>
        <w:tc>
          <w:tcPr>
            <w:tcW w:w="851" w:type="dxa"/>
            <w:tcBorders>
              <w:top w:val="single" w:sz="8" w:space="0" w:color="000000"/>
              <w:left w:val="single" w:sz="8" w:space="0" w:color="000000"/>
              <w:bottom w:val="single" w:sz="4" w:space="0" w:color="auto"/>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Cumprir determinação formal ou instrução complementar da FISCALIZAÇÃO,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03</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0,8% por dia</w:t>
            </w:r>
          </w:p>
        </w:tc>
      </w:tr>
      <w:tr w:rsidR="00CE42C7" w:rsidRPr="00CE42C7" w:rsidTr="002B52E1">
        <w:trPr>
          <w:trHeight w:val="154"/>
          <w:jc w:val="right"/>
        </w:trPr>
        <w:tc>
          <w:tcPr>
            <w:tcW w:w="851" w:type="dxa"/>
            <w:tcBorders>
              <w:top w:val="single" w:sz="4" w:space="0" w:color="auto"/>
              <w:left w:val="single" w:sz="4" w:space="0" w:color="auto"/>
              <w:bottom w:val="single" w:sz="4" w:space="0" w:color="auto"/>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Iniciar execução de serviço nos prazos estabelecidos, observados os limites mínimos estabelecidos por este Contrato; por serviço,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02</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0,4% por dia</w:t>
            </w:r>
          </w:p>
        </w:tc>
      </w:tr>
      <w:tr w:rsidR="00CE42C7" w:rsidRPr="00CE42C7" w:rsidTr="002B52E1">
        <w:trPr>
          <w:trHeight w:val="638"/>
          <w:jc w:val="right"/>
        </w:trPr>
        <w:tc>
          <w:tcPr>
            <w:tcW w:w="851" w:type="dxa"/>
            <w:tcBorders>
              <w:top w:val="single" w:sz="4" w:space="0" w:color="auto"/>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both"/>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Ressarcir o órgão por eventuais danos causados por sua culpa.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02</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0,4% por dia</w:t>
            </w:r>
          </w:p>
        </w:tc>
      </w:tr>
      <w:tr w:rsidR="00CE42C7" w:rsidRPr="00CE42C7" w:rsidTr="002B52E1">
        <w:trPr>
          <w:trHeight w:val="565"/>
          <w:jc w:val="right"/>
        </w:trPr>
        <w:tc>
          <w:tcPr>
            <w:tcW w:w="851" w:type="dxa"/>
            <w:tcBorders>
              <w:top w:val="single" w:sz="8" w:space="0" w:color="000000"/>
              <w:left w:val="single" w:sz="8" w:space="0" w:color="000000"/>
              <w:bottom w:val="single" w:sz="4" w:space="0" w:color="auto"/>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Fornecer relatórios exigidos para o objeto, por tipo e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02</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0,4% por dia</w:t>
            </w:r>
          </w:p>
        </w:tc>
      </w:tr>
      <w:tr w:rsidR="00CE42C7" w:rsidRPr="00CE42C7" w:rsidTr="002B52E1">
        <w:trPr>
          <w:trHeight w:val="234"/>
          <w:jc w:val="right"/>
        </w:trPr>
        <w:tc>
          <w:tcPr>
            <w:tcW w:w="851" w:type="dxa"/>
            <w:tcBorders>
              <w:top w:val="single" w:sz="4" w:space="0" w:color="auto"/>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Manter a documentação de habilitação atualizada; por item, por ocorrência.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01</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0,2% por dia</w:t>
            </w:r>
          </w:p>
        </w:tc>
      </w:tr>
      <w:tr w:rsidR="00CE42C7" w:rsidRPr="00CE42C7" w:rsidTr="002B52E1">
        <w:trPr>
          <w:trHeight w:val="556"/>
          <w:jc w:val="right"/>
        </w:trPr>
        <w:tc>
          <w:tcPr>
            <w:tcW w:w="851"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i/>
                <w:color w:val="000000"/>
                <w:sz w:val="16"/>
                <w:szCs w:val="16"/>
              </w:rPr>
            </w:pPr>
            <w:r w:rsidRPr="00CE42C7">
              <w:rPr>
                <w:rFonts w:ascii="Arial" w:hAnsi="Arial" w:cs="Arial"/>
                <w:color w:val="000000"/>
                <w:sz w:val="16"/>
                <w:szCs w:val="16"/>
              </w:rPr>
              <w:t>Substituir funcionário que se conduza de modo inconveniente ou não atenda às necessidades do Órgão, por funcionário e por dia.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01</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0,2% por dia</w:t>
            </w:r>
          </w:p>
        </w:tc>
      </w:tr>
      <w:tr w:rsidR="00CE42C7" w:rsidRPr="00CE42C7" w:rsidTr="002B52E1">
        <w:trPr>
          <w:trHeight w:val="558"/>
          <w:jc w:val="right"/>
        </w:trPr>
        <w:tc>
          <w:tcPr>
            <w:tcW w:w="851"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Fornecer suporte técnico à Contratante, por ocorrência e por dia.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01</w:t>
            </w:r>
          </w:p>
        </w:tc>
        <w:tc>
          <w:tcPr>
            <w:tcW w:w="1412"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0,2% por dia</w:t>
            </w:r>
          </w:p>
        </w:tc>
      </w:tr>
      <w:tr w:rsidR="00CE42C7" w:rsidRPr="00CE42C7" w:rsidTr="002B52E1">
        <w:trPr>
          <w:trHeight w:val="611"/>
          <w:jc w:val="right"/>
        </w:trPr>
        <w:tc>
          <w:tcPr>
            <w:tcW w:w="851" w:type="dxa"/>
            <w:tcBorders>
              <w:right w:val="single" w:sz="8" w:space="0" w:color="000000"/>
            </w:tcBorders>
            <w:vAlign w:val="center"/>
          </w:tcPr>
          <w:p w:rsidR="00CE42C7" w:rsidRPr="00CE42C7" w:rsidRDefault="00CE42C7" w:rsidP="00CE42C7">
            <w:pPr>
              <w:pStyle w:val="PargrafodaLista"/>
              <w:numPr>
                <w:ilvl w:val="0"/>
                <w:numId w:val="14"/>
              </w:numPr>
              <w:autoSpaceDE w:val="0"/>
              <w:autoSpaceDN w:val="0"/>
              <w:adjustRightInd w:val="0"/>
              <w:ind w:left="0" w:firstLine="0"/>
              <w:contextualSpacing w:val="0"/>
              <w:jc w:val="center"/>
              <w:rPr>
                <w:rFonts w:ascii="Arial" w:hAnsi="Arial" w:cs="Arial"/>
                <w:b/>
                <w:bCs/>
                <w:color w:val="000000"/>
                <w:sz w:val="16"/>
                <w:szCs w:val="16"/>
              </w:rPr>
            </w:pPr>
          </w:p>
        </w:tc>
        <w:tc>
          <w:tcPr>
            <w:tcW w:w="7229"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rPr>
                <w:rFonts w:ascii="Arial" w:hAnsi="Arial" w:cs="Arial"/>
                <w:color w:val="000000"/>
                <w:sz w:val="16"/>
                <w:szCs w:val="16"/>
              </w:rPr>
            </w:pPr>
            <w:r w:rsidRPr="00CE42C7">
              <w:rPr>
                <w:rFonts w:ascii="Arial" w:hAnsi="Arial" w:cs="Arial"/>
                <w:color w:val="000000"/>
                <w:sz w:val="16"/>
                <w:szCs w:val="16"/>
              </w:rPr>
              <w:t>Cumprir o Acordo de Nível de Serviço (SLA).</w:t>
            </w:r>
          </w:p>
        </w:tc>
        <w:tc>
          <w:tcPr>
            <w:tcW w:w="1417" w:type="dxa"/>
            <w:tcBorders>
              <w:top w:val="single" w:sz="8" w:space="0" w:color="000000"/>
              <w:left w:val="single" w:sz="8" w:space="0" w:color="000000"/>
              <w:bottom w:val="single" w:sz="8" w:space="0" w:color="000000"/>
              <w:right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06</w:t>
            </w:r>
          </w:p>
        </w:tc>
        <w:tc>
          <w:tcPr>
            <w:tcW w:w="1412" w:type="dxa"/>
            <w:tcBorders>
              <w:top w:val="single" w:sz="8" w:space="0" w:color="000000"/>
              <w:left w:val="single" w:sz="8" w:space="0" w:color="000000"/>
              <w:bottom w:val="single" w:sz="8" w:space="0" w:color="000000"/>
            </w:tcBorders>
            <w:vAlign w:val="center"/>
          </w:tcPr>
          <w:p w:rsidR="00CE42C7" w:rsidRPr="00CE42C7" w:rsidRDefault="00CE42C7" w:rsidP="00CE42C7">
            <w:pPr>
              <w:autoSpaceDE w:val="0"/>
              <w:autoSpaceDN w:val="0"/>
              <w:adjustRightInd w:val="0"/>
              <w:ind w:firstLine="33"/>
              <w:jc w:val="center"/>
              <w:rPr>
                <w:rFonts w:ascii="Arial" w:hAnsi="Arial" w:cs="Arial"/>
                <w:bCs/>
                <w:color w:val="000000"/>
                <w:sz w:val="16"/>
                <w:szCs w:val="16"/>
              </w:rPr>
            </w:pPr>
            <w:r w:rsidRPr="00CE42C7">
              <w:rPr>
                <w:rFonts w:ascii="Arial" w:hAnsi="Arial" w:cs="Arial"/>
                <w:bCs/>
                <w:color w:val="000000"/>
                <w:sz w:val="16"/>
                <w:szCs w:val="16"/>
              </w:rPr>
              <w:t>4,0% por dia</w:t>
            </w:r>
          </w:p>
        </w:tc>
      </w:tr>
    </w:tbl>
    <w:p w:rsidR="00CE42C7" w:rsidRPr="00CE42C7" w:rsidRDefault="00CE42C7" w:rsidP="00CE42C7">
      <w:pPr>
        <w:pStyle w:val="A2"/>
        <w:spacing w:line="240" w:lineRule="auto"/>
        <w:ind w:left="709" w:hanging="567"/>
        <w:rPr>
          <w:b/>
          <w:i/>
          <w:sz w:val="16"/>
          <w:szCs w:val="16"/>
          <w:u w:val="single"/>
        </w:rPr>
      </w:pPr>
    </w:p>
    <w:p w:rsidR="00CE42C7" w:rsidRPr="00CE42C7" w:rsidRDefault="00CE42C7" w:rsidP="002B52E1">
      <w:pPr>
        <w:pStyle w:val="A2"/>
        <w:numPr>
          <w:ilvl w:val="1"/>
          <w:numId w:val="31"/>
        </w:numPr>
        <w:spacing w:line="240" w:lineRule="auto"/>
        <w:rPr>
          <w:b/>
          <w:i/>
          <w:sz w:val="16"/>
          <w:szCs w:val="16"/>
          <w:u w:val="single"/>
        </w:rPr>
      </w:pPr>
      <w:proofErr w:type="gramStart"/>
      <w:r w:rsidRPr="00CE42C7">
        <w:rPr>
          <w:sz w:val="16"/>
          <w:szCs w:val="16"/>
        </w:rPr>
        <w:t>suspensão</w:t>
      </w:r>
      <w:proofErr w:type="gramEnd"/>
      <w:r w:rsidRPr="00CE42C7">
        <w:rPr>
          <w:sz w:val="16"/>
          <w:szCs w:val="16"/>
        </w:rPr>
        <w:t xml:space="preserve"> de licitar e impedimento de contratar com a Administração, pelo prazo de até dois anos; </w:t>
      </w:r>
    </w:p>
    <w:p w:rsidR="00CE42C7" w:rsidRPr="00CE42C7" w:rsidRDefault="00CE42C7" w:rsidP="002B52E1">
      <w:pPr>
        <w:pStyle w:val="A2"/>
        <w:numPr>
          <w:ilvl w:val="1"/>
          <w:numId w:val="31"/>
        </w:numPr>
        <w:spacing w:line="240" w:lineRule="auto"/>
        <w:rPr>
          <w:sz w:val="16"/>
          <w:szCs w:val="16"/>
        </w:rPr>
      </w:pPr>
      <w:proofErr w:type="gramStart"/>
      <w:r w:rsidRPr="00CE42C7">
        <w:rPr>
          <w:sz w:val="16"/>
          <w:szCs w:val="16"/>
        </w:rPr>
        <w:t>impedimento</w:t>
      </w:r>
      <w:proofErr w:type="gramEnd"/>
      <w:r w:rsidRPr="00CE42C7">
        <w:rPr>
          <w:sz w:val="16"/>
          <w:szCs w:val="16"/>
        </w:rPr>
        <w:t xml:space="preserve"> de licitar e contratar com a União com o consequente descredenciamento no SICAF pelo prazo de até cinco anos;</w:t>
      </w:r>
    </w:p>
    <w:p w:rsidR="00CE42C7" w:rsidRPr="00CE42C7" w:rsidRDefault="00CE42C7" w:rsidP="002B52E1">
      <w:pPr>
        <w:pStyle w:val="A2"/>
        <w:numPr>
          <w:ilvl w:val="1"/>
          <w:numId w:val="31"/>
        </w:numPr>
        <w:spacing w:line="240" w:lineRule="auto"/>
        <w:rPr>
          <w:sz w:val="16"/>
          <w:szCs w:val="16"/>
        </w:rPr>
      </w:pPr>
      <w:proofErr w:type="gramStart"/>
      <w:r w:rsidRPr="00CE42C7">
        <w:rPr>
          <w:sz w:val="16"/>
          <w:szCs w:val="16"/>
        </w:rPr>
        <w:t>declaração</w:t>
      </w:r>
      <w:proofErr w:type="gramEnd"/>
      <w:r w:rsidRPr="00CE42C7">
        <w:rPr>
          <w:sz w:val="16"/>
          <w:szCs w:val="16"/>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E42C7" w:rsidRPr="00CE42C7" w:rsidRDefault="00CE42C7" w:rsidP="002B52E1">
      <w:pPr>
        <w:pStyle w:val="A2"/>
        <w:numPr>
          <w:ilvl w:val="1"/>
          <w:numId w:val="31"/>
        </w:numPr>
        <w:spacing w:line="240" w:lineRule="auto"/>
        <w:rPr>
          <w:sz w:val="16"/>
          <w:szCs w:val="16"/>
        </w:rPr>
      </w:pPr>
      <w:r w:rsidRPr="00CE42C7">
        <w:rPr>
          <w:sz w:val="16"/>
          <w:szCs w:val="16"/>
        </w:rPr>
        <w:t xml:space="preserve">Também </w:t>
      </w:r>
      <w:proofErr w:type="gramStart"/>
      <w:r w:rsidRPr="00CE42C7">
        <w:rPr>
          <w:sz w:val="16"/>
          <w:szCs w:val="16"/>
        </w:rPr>
        <w:t>ficam</w:t>
      </w:r>
      <w:proofErr w:type="gramEnd"/>
      <w:r w:rsidRPr="00CE42C7">
        <w:rPr>
          <w:sz w:val="16"/>
          <w:szCs w:val="16"/>
        </w:rPr>
        <w:t xml:space="preserve"> sujeitas às penalidades do art. 87, III e IV da Lei nº 8.666, de 1993, a Contratada que:</w:t>
      </w:r>
    </w:p>
    <w:p w:rsidR="00CE42C7" w:rsidRPr="00CE42C7" w:rsidRDefault="00CE42C7" w:rsidP="002B52E1">
      <w:pPr>
        <w:pStyle w:val="A3i"/>
        <w:tabs>
          <w:tab w:val="clear" w:pos="1572"/>
        </w:tabs>
        <w:spacing w:line="240" w:lineRule="auto"/>
        <w:ind w:left="1288" w:firstLine="0"/>
        <w:rPr>
          <w:i/>
          <w:sz w:val="16"/>
          <w:szCs w:val="16"/>
        </w:rPr>
      </w:pPr>
      <w:proofErr w:type="gramStart"/>
      <w:r w:rsidRPr="00CE42C7">
        <w:rPr>
          <w:i/>
          <w:sz w:val="16"/>
          <w:szCs w:val="16"/>
        </w:rPr>
        <w:t>tenha</w:t>
      </w:r>
      <w:proofErr w:type="gramEnd"/>
      <w:r w:rsidRPr="00CE42C7">
        <w:rPr>
          <w:i/>
          <w:sz w:val="16"/>
          <w:szCs w:val="16"/>
        </w:rPr>
        <w:t xml:space="preserve"> sofrido condenação definitiva por praticar, por meio dolosos, fraude fiscal no recolhimento de quaisquer tributos;</w:t>
      </w:r>
    </w:p>
    <w:p w:rsidR="00CE42C7" w:rsidRPr="00CE42C7" w:rsidRDefault="00CE42C7" w:rsidP="002B52E1">
      <w:pPr>
        <w:pStyle w:val="A3i"/>
        <w:tabs>
          <w:tab w:val="clear" w:pos="1572"/>
        </w:tabs>
        <w:spacing w:line="240" w:lineRule="auto"/>
        <w:ind w:left="1288" w:firstLine="0"/>
        <w:rPr>
          <w:i/>
          <w:sz w:val="16"/>
          <w:szCs w:val="16"/>
        </w:rPr>
      </w:pPr>
      <w:proofErr w:type="gramStart"/>
      <w:r w:rsidRPr="00CE42C7">
        <w:rPr>
          <w:i/>
          <w:sz w:val="16"/>
          <w:szCs w:val="16"/>
        </w:rPr>
        <w:t>tenha</w:t>
      </w:r>
      <w:proofErr w:type="gramEnd"/>
      <w:r w:rsidRPr="00CE42C7">
        <w:rPr>
          <w:i/>
          <w:sz w:val="16"/>
          <w:szCs w:val="16"/>
        </w:rPr>
        <w:t xml:space="preserve"> praticado atos ilícitos visando a frustrar os objetivos da licitação;</w:t>
      </w:r>
    </w:p>
    <w:p w:rsidR="00CE42C7" w:rsidRPr="00CE42C7" w:rsidRDefault="00CE42C7" w:rsidP="002B52E1">
      <w:pPr>
        <w:pStyle w:val="A3i"/>
        <w:tabs>
          <w:tab w:val="clear" w:pos="1572"/>
        </w:tabs>
        <w:spacing w:line="240" w:lineRule="auto"/>
        <w:ind w:left="1288" w:firstLine="0"/>
        <w:rPr>
          <w:i/>
          <w:sz w:val="16"/>
          <w:szCs w:val="16"/>
        </w:rPr>
      </w:pPr>
      <w:proofErr w:type="gramStart"/>
      <w:r w:rsidRPr="00CE42C7">
        <w:rPr>
          <w:i/>
          <w:sz w:val="16"/>
          <w:szCs w:val="16"/>
        </w:rPr>
        <w:t>demonstre</w:t>
      </w:r>
      <w:proofErr w:type="gramEnd"/>
      <w:r w:rsidRPr="00CE42C7">
        <w:rPr>
          <w:i/>
          <w:sz w:val="16"/>
          <w:szCs w:val="16"/>
        </w:rPr>
        <w:t xml:space="preserve"> não possuir idoneidade para contratar com a Administração em virtude de atos ilícitos praticados.</w:t>
      </w:r>
    </w:p>
    <w:p w:rsidR="00CE42C7" w:rsidRPr="00CE42C7" w:rsidRDefault="00CE42C7" w:rsidP="002B52E1">
      <w:pPr>
        <w:pStyle w:val="A2"/>
        <w:numPr>
          <w:ilvl w:val="1"/>
          <w:numId w:val="31"/>
        </w:numPr>
        <w:spacing w:line="240" w:lineRule="auto"/>
        <w:rPr>
          <w:sz w:val="16"/>
          <w:szCs w:val="16"/>
        </w:rPr>
      </w:pPr>
      <w:r w:rsidRPr="00CE42C7">
        <w:rPr>
          <w:sz w:val="16"/>
          <w:szCs w:val="16"/>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CE42C7" w:rsidRPr="00CE42C7" w:rsidRDefault="00CE42C7" w:rsidP="002B52E1">
      <w:pPr>
        <w:pStyle w:val="A2"/>
        <w:numPr>
          <w:ilvl w:val="1"/>
          <w:numId w:val="31"/>
        </w:numPr>
        <w:spacing w:line="240" w:lineRule="auto"/>
        <w:rPr>
          <w:i/>
          <w:sz w:val="16"/>
          <w:szCs w:val="16"/>
        </w:rPr>
      </w:pPr>
      <w:r w:rsidRPr="00CE42C7">
        <w:rPr>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E42C7" w:rsidRPr="009055CB" w:rsidRDefault="00CE42C7" w:rsidP="002B52E1">
      <w:pPr>
        <w:pStyle w:val="A2"/>
        <w:numPr>
          <w:ilvl w:val="1"/>
          <w:numId w:val="31"/>
        </w:numPr>
        <w:spacing w:line="240" w:lineRule="auto"/>
        <w:rPr>
          <w:i/>
          <w:sz w:val="16"/>
          <w:szCs w:val="16"/>
        </w:rPr>
      </w:pPr>
      <w:r w:rsidRPr="00CE42C7">
        <w:rPr>
          <w:sz w:val="16"/>
          <w:szCs w:val="16"/>
        </w:rPr>
        <w:t>As penalidades serão obrigatoriamente registradas no SICAF.</w:t>
      </w:r>
    </w:p>
    <w:p w:rsidR="009055CB" w:rsidRPr="00CE42C7" w:rsidRDefault="009055CB" w:rsidP="009055CB">
      <w:pPr>
        <w:pStyle w:val="A2"/>
        <w:spacing w:line="240" w:lineRule="auto"/>
        <w:ind w:left="502" w:firstLine="0"/>
        <w:rPr>
          <w:i/>
          <w:sz w:val="16"/>
          <w:szCs w:val="16"/>
        </w:rPr>
      </w:pPr>
    </w:p>
    <w:p w:rsidR="00EB0431" w:rsidRPr="00770226" w:rsidRDefault="00EB0431" w:rsidP="00EB0431">
      <w:pPr>
        <w:tabs>
          <w:tab w:val="left" w:pos="0"/>
          <w:tab w:val="left" w:pos="567"/>
        </w:tabs>
        <w:jc w:val="both"/>
        <w:rPr>
          <w:rFonts w:ascii="Arial" w:hAnsi="Arial" w:cs="Arial"/>
          <w:bCs/>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lastRenderedPageBreak/>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Default="005269EC" w:rsidP="005269EC">
      <w:pPr>
        <w:jc w:val="both"/>
        <w:rPr>
          <w:rFonts w:ascii="Arial" w:hAnsi="Arial" w:cs="Arial"/>
          <w:color w:val="000000"/>
          <w:sz w:val="16"/>
          <w:szCs w:val="16"/>
        </w:rPr>
      </w:pPr>
    </w:p>
    <w:p w:rsidR="009055CB" w:rsidRPr="005269EC" w:rsidRDefault="009055CB"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9055CB" w:rsidRPr="009A54D1" w:rsidRDefault="009055CB"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C93C3C" w:rsidRDefault="00C93C3C" w:rsidP="009D2314">
      <w:pPr>
        <w:tabs>
          <w:tab w:val="left" w:pos="1134"/>
        </w:tabs>
        <w:jc w:val="both"/>
        <w:rPr>
          <w:rFonts w:ascii="Arial" w:hAnsi="Arial" w:cs="Arial"/>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055CB" w:rsidRDefault="009055CB" w:rsidP="009D2314">
      <w:pPr>
        <w:tabs>
          <w:tab w:val="left" w:pos="1134"/>
        </w:tabs>
        <w:jc w:val="both"/>
        <w:rPr>
          <w:rFonts w:ascii="Arial" w:hAnsi="Arial" w:cs="Arial"/>
          <w:sz w:val="16"/>
          <w:szCs w:val="16"/>
        </w:rPr>
      </w:pP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lastRenderedPageBreak/>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Pr="00770226" w:rsidRDefault="002B52E1" w:rsidP="001D515A">
      <w:pPr>
        <w:rPr>
          <w:rFonts w:ascii="Arial" w:hAnsi="Arial" w:cs="Arial"/>
          <w:b/>
          <w:sz w:val="16"/>
          <w:szCs w:val="16"/>
        </w:rPr>
      </w:pPr>
      <w:r>
        <w:rPr>
          <w:rFonts w:ascii="Arial" w:hAnsi="Arial" w:cs="Arial"/>
          <w:sz w:val="16"/>
          <w:szCs w:val="16"/>
          <w:shd w:val="clear" w:color="auto" w:fill="FCFCFF"/>
        </w:rPr>
        <w:t xml:space="preserve">SEAE – </w:t>
      </w:r>
      <w:r>
        <w:rPr>
          <w:rFonts w:ascii="Arial" w:hAnsi="Arial" w:cs="Arial"/>
          <w:color w:val="000000"/>
          <w:sz w:val="16"/>
          <w:szCs w:val="16"/>
        </w:rPr>
        <w:t>Superintendência</w:t>
      </w:r>
      <w:r w:rsidRPr="00DF4AF8">
        <w:rPr>
          <w:rFonts w:ascii="Arial" w:hAnsi="Arial" w:cs="Arial"/>
          <w:color w:val="000000"/>
          <w:sz w:val="16"/>
          <w:szCs w:val="16"/>
        </w:rPr>
        <w:t xml:space="preserve"> Estadual de Assuntos Estratégico</w:t>
      </w:r>
      <w:r w:rsidR="00C93C3C" w:rsidRPr="00770226">
        <w:rPr>
          <w:rFonts w:ascii="Arial" w:hAnsi="Arial" w:cs="Arial"/>
          <w:sz w:val="16"/>
          <w:szCs w:val="16"/>
        </w:rPr>
        <w:t>.</w:t>
      </w:r>
    </w:p>
    <w:p w:rsidR="00C93C3C" w:rsidRDefault="00C93C3C" w:rsidP="009D2314">
      <w:pPr>
        <w:jc w:val="both"/>
        <w:rPr>
          <w:rFonts w:ascii="Arial" w:hAnsi="Arial" w:cs="Arial"/>
          <w:b/>
          <w:bCs/>
          <w:color w:val="000000"/>
          <w:sz w:val="16"/>
          <w:szCs w:val="16"/>
        </w:rPr>
      </w:pPr>
    </w:p>
    <w:p w:rsidR="009055CB" w:rsidRDefault="009055C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Default="00E746DF" w:rsidP="00674210">
      <w:pPr>
        <w:ind w:right="47"/>
        <w:jc w:val="center"/>
        <w:rPr>
          <w:rFonts w:ascii="Arial" w:hAnsi="Arial" w:cs="Arial"/>
          <w:color w:val="000000"/>
          <w:sz w:val="16"/>
          <w:szCs w:val="16"/>
        </w:rPr>
      </w:pPr>
    </w:p>
    <w:p w:rsidR="002B52E1" w:rsidRDefault="002B52E1" w:rsidP="00674210">
      <w:pPr>
        <w:ind w:right="47"/>
        <w:jc w:val="center"/>
        <w:rPr>
          <w:rFonts w:ascii="Arial" w:hAnsi="Arial" w:cs="Arial"/>
          <w:color w:val="000000"/>
          <w:sz w:val="16"/>
          <w:szCs w:val="16"/>
        </w:rPr>
      </w:pPr>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B52E1" w:rsidRDefault="002B52E1" w:rsidP="00526790">
      <w:pPr>
        <w:ind w:right="47"/>
        <w:jc w:val="both"/>
        <w:rPr>
          <w:rFonts w:ascii="Arial" w:hAnsi="Arial" w:cs="Arial"/>
          <w:b/>
          <w:bCs/>
          <w:color w:val="000000"/>
          <w:sz w:val="10"/>
          <w:szCs w:val="10"/>
        </w:rPr>
      </w:pPr>
    </w:p>
    <w:p w:rsidR="00C50BF7" w:rsidRPr="00C50BF7" w:rsidRDefault="002B52E1"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2C7" w:rsidRDefault="00CE42C7">
      <w:r>
        <w:separator/>
      </w:r>
    </w:p>
  </w:endnote>
  <w:endnote w:type="continuationSeparator" w:id="0">
    <w:p w:rsidR="00CE42C7" w:rsidRDefault="00CE4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2C7" w:rsidRDefault="00CE42C7">
      <w:r>
        <w:separator/>
      </w:r>
    </w:p>
  </w:footnote>
  <w:footnote w:type="continuationSeparator" w:id="0">
    <w:p w:rsidR="00CE42C7" w:rsidRDefault="00CE4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C7" w:rsidRDefault="00CE42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2">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2">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3">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6">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29">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30">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5"/>
  </w:num>
  <w:num w:numId="4">
    <w:abstractNumId w:val="4"/>
  </w:num>
  <w:num w:numId="5">
    <w:abstractNumId w:val="18"/>
  </w:num>
  <w:num w:numId="6">
    <w:abstractNumId w:val="16"/>
  </w:num>
  <w:num w:numId="7">
    <w:abstractNumId w:val="24"/>
  </w:num>
  <w:num w:numId="8">
    <w:abstractNumId w:val="13"/>
  </w:num>
  <w:num w:numId="9">
    <w:abstractNumId w:val="14"/>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0"/>
  </w:num>
  <w:num w:numId="14">
    <w:abstractNumId w:val="27"/>
  </w:num>
  <w:num w:numId="15">
    <w:abstractNumId w:val="1"/>
  </w:num>
  <w:num w:numId="16">
    <w:abstractNumId w:val="2"/>
  </w:num>
  <w:num w:numId="17">
    <w:abstractNumId w:val="30"/>
  </w:num>
  <w:num w:numId="18">
    <w:abstractNumId w:val="12"/>
  </w:num>
  <w:num w:numId="19">
    <w:abstractNumId w:val="21"/>
  </w:num>
  <w:num w:numId="20">
    <w:abstractNumId w:val="8"/>
  </w:num>
  <w:num w:numId="21">
    <w:abstractNumId w:val="17"/>
  </w:num>
  <w:num w:numId="22">
    <w:abstractNumId w:val="11"/>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8"/>
  </w:num>
  <w:num w:numId="29">
    <w:abstractNumId w:val="6"/>
  </w:num>
  <w:num w:numId="30">
    <w:abstractNumId w:val="29"/>
  </w:num>
  <w:num w:numId="31">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31021"/>
    <w:rsid w:val="00237D75"/>
    <w:rsid w:val="0024014B"/>
    <w:rsid w:val="00240F86"/>
    <w:rsid w:val="00244983"/>
    <w:rsid w:val="00255F4C"/>
    <w:rsid w:val="00256091"/>
    <w:rsid w:val="00260036"/>
    <w:rsid w:val="00263010"/>
    <w:rsid w:val="002640C0"/>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99"/>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26C7D-5E63-4D52-B140-5AB2E71C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7</Pages>
  <Words>4345</Words>
  <Characters>23845</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45</cp:revision>
  <cp:lastPrinted>2017-01-18T11:43:00Z</cp:lastPrinted>
  <dcterms:created xsi:type="dcterms:W3CDTF">2016-03-03T11:34:00Z</dcterms:created>
  <dcterms:modified xsi:type="dcterms:W3CDTF">2017-01-18T11:44:00Z</dcterms:modified>
</cp:coreProperties>
</file>