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5147A">
        <w:rPr>
          <w:rFonts w:ascii="Arial" w:hAnsi="Arial" w:cs="Arial"/>
          <w:sz w:val="16"/>
          <w:szCs w:val="16"/>
        </w:rPr>
        <w:t>1</w:t>
      </w:r>
      <w:r w:rsidR="00A07D07">
        <w:rPr>
          <w:rFonts w:ascii="Arial" w:hAnsi="Arial" w:cs="Arial"/>
          <w:sz w:val="16"/>
          <w:szCs w:val="16"/>
        </w:rPr>
        <w:t>10</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A07D07">
        <w:rPr>
          <w:rFonts w:ascii="Arial" w:hAnsi="Arial" w:cs="Arial"/>
          <w:bCs/>
          <w:sz w:val="16"/>
          <w:szCs w:val="16"/>
        </w:rPr>
        <w:t>166</w:t>
      </w:r>
      <w:r w:rsidR="005C2262">
        <w:rPr>
          <w:rFonts w:ascii="Arial" w:hAnsi="Arial" w:cs="Arial"/>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EF1FC6">
        <w:rPr>
          <w:rFonts w:ascii="Arial" w:hAnsi="Arial" w:cs="Arial"/>
          <w:bCs/>
          <w:sz w:val="16"/>
          <w:szCs w:val="16"/>
        </w:rPr>
        <w:t>0</w:t>
      </w:r>
      <w:r w:rsidR="00A07D07">
        <w:rPr>
          <w:rFonts w:ascii="Arial" w:hAnsi="Arial" w:cs="Arial"/>
          <w:bCs/>
          <w:sz w:val="16"/>
          <w:szCs w:val="16"/>
        </w:rPr>
        <w:t>9591</w:t>
      </w:r>
      <w:r w:rsidR="00EA06CB">
        <w:rPr>
          <w:rFonts w:ascii="Arial" w:hAnsi="Arial" w:cs="Arial"/>
          <w:bCs/>
          <w:sz w:val="16"/>
          <w:szCs w:val="16"/>
        </w:rPr>
        <w:t>-00/201</w:t>
      </w:r>
      <w:r w:rsidR="00D77649">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w:t>
      </w:r>
      <w:r w:rsidRPr="00A07D07">
        <w:rPr>
          <w:rFonts w:ascii="Arial" w:hAnsi="Arial" w:cs="Arial"/>
          <w:sz w:val="16"/>
          <w:szCs w:val="16"/>
        </w:rPr>
        <w:t>PREÇ</w:t>
      </w:r>
      <w:r w:rsidR="00F17DD3" w:rsidRPr="00A07D07">
        <w:rPr>
          <w:rFonts w:ascii="Arial" w:hAnsi="Arial" w:cs="Arial"/>
          <w:sz w:val="16"/>
          <w:szCs w:val="16"/>
        </w:rPr>
        <w:t xml:space="preserve">O </w:t>
      </w:r>
      <w:r w:rsidR="00EF1FC6" w:rsidRPr="00A07D07">
        <w:rPr>
          <w:rFonts w:ascii="Arial" w:hAnsi="Arial" w:cs="Arial"/>
          <w:sz w:val="16"/>
          <w:szCs w:val="16"/>
        </w:rPr>
        <w:t xml:space="preserve">para futura e eventual </w:t>
      </w:r>
      <w:r w:rsidR="00A07D07" w:rsidRPr="00A07D07">
        <w:rPr>
          <w:rFonts w:ascii="Arial" w:hAnsi="Arial" w:cs="Arial"/>
          <w:sz w:val="16"/>
          <w:szCs w:val="16"/>
        </w:rPr>
        <w:t xml:space="preserve">aquisição de materiais de consumo necessários para a estruturação do setor de Nutrição e </w:t>
      </w:r>
      <w:proofErr w:type="spellStart"/>
      <w:r w:rsidR="00A07D07" w:rsidRPr="00A07D07">
        <w:rPr>
          <w:rFonts w:ascii="Arial" w:hAnsi="Arial" w:cs="Arial"/>
          <w:sz w:val="16"/>
          <w:szCs w:val="16"/>
        </w:rPr>
        <w:t>Lactários</w:t>
      </w:r>
      <w:proofErr w:type="spellEnd"/>
      <w:r w:rsidR="00A07D07" w:rsidRPr="00A07D07">
        <w:rPr>
          <w:rFonts w:ascii="Arial" w:hAnsi="Arial" w:cs="Arial"/>
          <w:sz w:val="16"/>
          <w:szCs w:val="16"/>
        </w:rPr>
        <w:t>, visando atender</w:t>
      </w:r>
      <w:proofErr w:type="gramStart"/>
      <w:r w:rsidR="00A07D07" w:rsidRPr="00A07D07">
        <w:rPr>
          <w:rFonts w:ascii="Arial" w:hAnsi="Arial" w:cs="Arial"/>
          <w:sz w:val="16"/>
          <w:szCs w:val="16"/>
        </w:rPr>
        <w:t xml:space="preserve">  </w:t>
      </w:r>
      <w:proofErr w:type="gramEnd"/>
      <w:r w:rsidR="00A07D07" w:rsidRPr="00A07D07">
        <w:rPr>
          <w:rFonts w:ascii="Arial" w:hAnsi="Arial" w:cs="Arial"/>
          <w:sz w:val="16"/>
          <w:szCs w:val="16"/>
        </w:rPr>
        <w:t>a solicitação do Núcleo de Nutrição e Dietética do  Hospital de Base Dr. Ary Pinheiro – HBAP</w:t>
      </w:r>
      <w:r w:rsidR="00EF1FC6" w:rsidRPr="00A07D07">
        <w:rPr>
          <w:rFonts w:ascii="Arial" w:hAnsi="Arial" w:cs="Arial"/>
          <w:sz w:val="16"/>
          <w:szCs w:val="16"/>
        </w:rPr>
        <w:t>, a pedido da</w:t>
      </w:r>
      <w:r w:rsidR="00EF1FC6">
        <w:rPr>
          <w:rFonts w:ascii="Arial" w:hAnsi="Arial" w:cs="Arial"/>
          <w:sz w:val="16"/>
          <w:szCs w:val="16"/>
        </w:rPr>
        <w:t xml:space="preserve"> Secretária de Estado da Saúde – </w:t>
      </w:r>
      <w:r w:rsidR="00EF1FC6" w:rsidRPr="00EF1FC6">
        <w:rPr>
          <w:rFonts w:ascii="Arial" w:hAnsi="Arial" w:cs="Arial"/>
          <w:sz w:val="16"/>
          <w:szCs w:val="16"/>
        </w:rPr>
        <w:t>SESAU</w:t>
      </w:r>
      <w:r w:rsidR="00EF1FC6">
        <w:rPr>
          <w:rFonts w:ascii="Arial" w:hAnsi="Arial" w:cs="Arial"/>
          <w:sz w:val="16"/>
          <w:szCs w:val="16"/>
        </w:rPr>
        <w:t>/RO</w:t>
      </w:r>
      <w:r w:rsidR="00954AB0" w:rsidRPr="002D55DF">
        <w:rPr>
          <w:rFonts w:ascii="Arial" w:hAnsi="Arial" w:cs="Arial"/>
          <w:sz w:val="16"/>
          <w:szCs w:val="16"/>
        </w:rPr>
        <w:t>,</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3C5D6F" w:rsidRPr="003C5D6F">
        <w:rPr>
          <w:rFonts w:ascii="Arial" w:hAnsi="Arial" w:cs="Arial"/>
          <w:sz w:val="16"/>
          <w:szCs w:val="16"/>
        </w:rPr>
        <w:t xml:space="preserve">para futura e eventual </w:t>
      </w:r>
      <w:r w:rsidR="00A07D07" w:rsidRPr="00A07D07">
        <w:rPr>
          <w:rFonts w:ascii="Arial" w:hAnsi="Arial" w:cs="Arial"/>
          <w:sz w:val="16"/>
          <w:szCs w:val="16"/>
        </w:rPr>
        <w:t xml:space="preserve">aquisição de materiais de consumo necessários para a estruturação do setor de Nutrição e </w:t>
      </w:r>
      <w:proofErr w:type="spellStart"/>
      <w:r w:rsidR="00A07D07" w:rsidRPr="00A07D07">
        <w:rPr>
          <w:rFonts w:ascii="Arial" w:hAnsi="Arial" w:cs="Arial"/>
          <w:sz w:val="16"/>
          <w:szCs w:val="16"/>
        </w:rPr>
        <w:t>Lactários</w:t>
      </w:r>
      <w:proofErr w:type="spellEnd"/>
      <w:r w:rsidR="00A07D07" w:rsidRPr="00A07D07">
        <w:rPr>
          <w:rFonts w:ascii="Arial" w:hAnsi="Arial" w:cs="Arial"/>
          <w:sz w:val="16"/>
          <w:szCs w:val="16"/>
        </w:rPr>
        <w:t>, visando atender</w:t>
      </w:r>
      <w:proofErr w:type="gramStart"/>
      <w:r w:rsidR="00A07D07" w:rsidRPr="00A07D07">
        <w:rPr>
          <w:rFonts w:ascii="Arial" w:hAnsi="Arial" w:cs="Arial"/>
          <w:sz w:val="16"/>
          <w:szCs w:val="16"/>
        </w:rPr>
        <w:t xml:space="preserve">  </w:t>
      </w:r>
      <w:proofErr w:type="gramEnd"/>
      <w:r w:rsidR="00A07D07" w:rsidRPr="00A07D07">
        <w:rPr>
          <w:rFonts w:ascii="Arial" w:hAnsi="Arial" w:cs="Arial"/>
          <w:sz w:val="16"/>
          <w:szCs w:val="16"/>
        </w:rPr>
        <w:t>a solicitação do Núcleo de Nutrição e Dietética do  Hospital de Base Dr. Ary Pinheiro – HBAP, a pedido da</w:t>
      </w:r>
      <w:r w:rsidR="00A07D07">
        <w:rPr>
          <w:rFonts w:ascii="Arial" w:hAnsi="Arial" w:cs="Arial"/>
          <w:sz w:val="16"/>
          <w:szCs w:val="16"/>
        </w:rPr>
        <w:t xml:space="preserve"> Secretária de Estado da Saúde – </w:t>
      </w:r>
      <w:r w:rsidR="00A07D07" w:rsidRPr="00EF1FC6">
        <w:rPr>
          <w:rFonts w:ascii="Arial" w:hAnsi="Arial" w:cs="Arial"/>
          <w:sz w:val="16"/>
          <w:szCs w:val="16"/>
        </w:rPr>
        <w:t>SESAU</w:t>
      </w:r>
      <w:r w:rsidR="00A07D07">
        <w:rPr>
          <w:rFonts w:ascii="Arial" w:hAnsi="Arial" w:cs="Arial"/>
          <w:sz w:val="16"/>
          <w:szCs w:val="16"/>
        </w:rPr>
        <w:t>/RO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 xml:space="preserve">Expedida a Nota de Empenho, o recebimento de seu objeto ficará condicionado </w:t>
      </w:r>
      <w:proofErr w:type="gramStart"/>
      <w:r w:rsidR="009D2314" w:rsidRPr="009A54D1">
        <w:rPr>
          <w:sz w:val="16"/>
          <w:szCs w:val="16"/>
        </w:rPr>
        <w:t>a</w:t>
      </w:r>
      <w:proofErr w:type="gramEnd"/>
      <w:r w:rsidR="009D2314" w:rsidRPr="009A54D1">
        <w:rPr>
          <w:sz w:val="16"/>
          <w:szCs w:val="16"/>
        </w:rPr>
        <w:t xml:space="preserve"> observância das normas contidas no art. 40, inciso XVI, c/c o art. 73 inciso II, “a” e “b”, da Lei 8.666/93 e alterações.</w:t>
      </w:r>
    </w:p>
    <w:p w:rsidR="00EF1FC6" w:rsidRPr="00A07D07" w:rsidRDefault="004B50C5" w:rsidP="00EF1FC6">
      <w:pPr>
        <w:jc w:val="both"/>
        <w:rPr>
          <w:rFonts w:ascii="Arial" w:hAnsi="Arial" w:cs="Arial"/>
          <w:sz w:val="16"/>
          <w:szCs w:val="16"/>
        </w:rPr>
      </w:pPr>
      <w:r w:rsidRPr="00A07D07">
        <w:rPr>
          <w:rFonts w:ascii="Arial" w:hAnsi="Arial" w:cs="Arial"/>
          <w:sz w:val="16"/>
          <w:szCs w:val="16"/>
        </w:rPr>
        <w:t>6.3</w:t>
      </w:r>
      <w:r w:rsidR="001643CD" w:rsidRPr="00A07D07">
        <w:rPr>
          <w:rFonts w:ascii="Arial" w:hAnsi="Arial" w:cs="Arial"/>
          <w:sz w:val="16"/>
          <w:szCs w:val="16"/>
        </w:rPr>
        <w:t>.</w:t>
      </w:r>
      <w:r w:rsidRPr="00A07D07">
        <w:rPr>
          <w:rFonts w:ascii="Arial" w:hAnsi="Arial" w:cs="Arial"/>
          <w:sz w:val="16"/>
          <w:szCs w:val="16"/>
        </w:rPr>
        <w:t xml:space="preserve"> </w:t>
      </w:r>
      <w:r w:rsidR="00F17DD3" w:rsidRPr="00A07D07">
        <w:rPr>
          <w:rFonts w:ascii="Arial" w:hAnsi="Arial" w:cs="Arial"/>
          <w:b/>
          <w:sz w:val="16"/>
          <w:szCs w:val="16"/>
        </w:rPr>
        <w:t>PRAZO DE ENTREGA:</w:t>
      </w:r>
      <w:r w:rsidR="00F111D9" w:rsidRPr="00A07D07">
        <w:rPr>
          <w:rFonts w:ascii="Arial" w:hAnsi="Arial" w:cs="Arial"/>
          <w:sz w:val="16"/>
          <w:szCs w:val="16"/>
        </w:rPr>
        <w:t xml:space="preserve"> </w:t>
      </w:r>
      <w:r w:rsidR="00A07D07" w:rsidRPr="00A07D07">
        <w:rPr>
          <w:rFonts w:ascii="Arial" w:hAnsi="Arial" w:cs="Arial"/>
          <w:sz w:val="16"/>
          <w:szCs w:val="16"/>
        </w:rPr>
        <w:t>Os materiais deverão ser entregues no prazo máximo de até 30 (trinta) dias corridos contados a partir do recebimento da Nota de Empenho</w:t>
      </w:r>
      <w:r w:rsidR="00EF1FC6" w:rsidRPr="00A07D07">
        <w:rPr>
          <w:rFonts w:ascii="Arial" w:hAnsi="Arial" w:cs="Arial"/>
          <w:sz w:val="16"/>
          <w:szCs w:val="16"/>
        </w:rPr>
        <w:t>.</w:t>
      </w:r>
    </w:p>
    <w:p w:rsidR="002D55DF" w:rsidRPr="00A07D07" w:rsidRDefault="002D55DF" w:rsidP="00FD59F7">
      <w:pPr>
        <w:jc w:val="both"/>
        <w:rPr>
          <w:rFonts w:ascii="Arial" w:hAnsi="Arial" w:cs="Arial"/>
          <w:sz w:val="16"/>
          <w:szCs w:val="16"/>
        </w:rPr>
      </w:pPr>
    </w:p>
    <w:p w:rsidR="001606A8" w:rsidRPr="00A07D07" w:rsidRDefault="00F23872" w:rsidP="00EF1FC6">
      <w:pPr>
        <w:jc w:val="both"/>
        <w:rPr>
          <w:rFonts w:ascii="Arial" w:hAnsi="Arial" w:cs="Arial"/>
          <w:sz w:val="16"/>
          <w:szCs w:val="16"/>
        </w:rPr>
      </w:pPr>
      <w:r w:rsidRPr="00A07D07">
        <w:rPr>
          <w:rFonts w:ascii="Arial" w:hAnsi="Arial" w:cs="Arial"/>
          <w:sz w:val="16"/>
          <w:szCs w:val="16"/>
        </w:rPr>
        <w:t>6</w:t>
      </w:r>
      <w:r w:rsidR="00F111D9" w:rsidRPr="00A07D07">
        <w:rPr>
          <w:rFonts w:ascii="Arial" w:hAnsi="Arial" w:cs="Arial"/>
          <w:sz w:val="16"/>
          <w:szCs w:val="16"/>
        </w:rPr>
        <w:t>.4</w:t>
      </w:r>
      <w:r w:rsidR="001643CD" w:rsidRPr="00A07D07">
        <w:rPr>
          <w:rFonts w:ascii="Arial" w:hAnsi="Arial" w:cs="Arial"/>
          <w:sz w:val="16"/>
          <w:szCs w:val="16"/>
        </w:rPr>
        <w:t>.</w:t>
      </w:r>
      <w:r w:rsidRPr="00A07D07">
        <w:rPr>
          <w:rFonts w:ascii="Arial" w:hAnsi="Arial" w:cs="Arial"/>
          <w:sz w:val="16"/>
          <w:szCs w:val="16"/>
        </w:rPr>
        <w:t xml:space="preserve"> </w:t>
      </w:r>
      <w:r w:rsidR="00F17DD3" w:rsidRPr="00A07D07">
        <w:rPr>
          <w:rFonts w:ascii="Arial" w:hAnsi="Arial" w:cs="Arial"/>
          <w:b/>
          <w:sz w:val="16"/>
          <w:szCs w:val="16"/>
        </w:rPr>
        <w:t>LOCAL/HORÁRIOS:</w:t>
      </w:r>
      <w:r w:rsidR="00F17DD3" w:rsidRPr="00A07D07">
        <w:rPr>
          <w:rFonts w:ascii="Arial" w:hAnsi="Arial" w:cs="Arial"/>
          <w:sz w:val="16"/>
          <w:szCs w:val="16"/>
        </w:rPr>
        <w:t xml:space="preserve"> </w:t>
      </w:r>
      <w:r w:rsidR="00A07D07" w:rsidRPr="00A07D07">
        <w:rPr>
          <w:rFonts w:ascii="Arial" w:hAnsi="Arial" w:cs="Arial"/>
          <w:sz w:val="16"/>
          <w:szCs w:val="16"/>
        </w:rPr>
        <w:t xml:space="preserve">Os materiais deverão ser entregue no Almoxarifado Central: Av. Rio Madeira, 603 - Bairro Lagoa – Porto Velho/RO. Os dias de funcionamento são de segunda a sexta – feira, sendo de 07h30min </w:t>
      </w:r>
      <w:proofErr w:type="gramStart"/>
      <w:r w:rsidR="00A07D07" w:rsidRPr="00A07D07">
        <w:rPr>
          <w:rFonts w:ascii="Arial" w:hAnsi="Arial" w:cs="Arial"/>
          <w:sz w:val="16"/>
          <w:szCs w:val="16"/>
        </w:rPr>
        <w:t>às</w:t>
      </w:r>
      <w:proofErr w:type="gramEnd"/>
      <w:r w:rsidR="00A07D07" w:rsidRPr="00A07D07">
        <w:rPr>
          <w:rFonts w:ascii="Arial" w:hAnsi="Arial" w:cs="Arial"/>
          <w:sz w:val="16"/>
          <w:szCs w:val="16"/>
        </w:rPr>
        <w:t xml:space="preserve"> 13h30min</w:t>
      </w:r>
      <w:r w:rsidR="00EF1FC6" w:rsidRPr="00A07D07">
        <w:rPr>
          <w:rFonts w:ascii="Arial" w:hAnsi="Arial" w:cs="Arial"/>
          <w:sz w:val="16"/>
          <w:szCs w:val="16"/>
        </w:rPr>
        <w:t>.</w:t>
      </w:r>
    </w:p>
    <w:p w:rsidR="00EF1FC6" w:rsidRPr="003C5D6F" w:rsidRDefault="00EF1FC6" w:rsidP="00EF1FC6">
      <w:pPr>
        <w:jc w:val="both"/>
        <w:rPr>
          <w:rFonts w:ascii="Arial" w:hAnsi="Arial" w:cs="Arial"/>
          <w:sz w:val="16"/>
          <w:szCs w:val="16"/>
        </w:rPr>
      </w:pPr>
    </w:p>
    <w:p w:rsidR="00EF1FC6" w:rsidRDefault="00EF1FC6"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 xml:space="preserve">Sem prejuízo das sanções cominadas no art. </w:t>
      </w:r>
      <w:proofErr w:type="gramStart"/>
      <w:r w:rsidRPr="00A07D07">
        <w:rPr>
          <w:rFonts w:ascii="Arial" w:eastAsia="Calibri" w:hAnsi="Arial" w:cs="Arial"/>
          <w:sz w:val="16"/>
          <w:szCs w:val="16"/>
          <w:lang w:eastAsia="en-US"/>
        </w:rPr>
        <w:t>87,</w:t>
      </w:r>
      <w:proofErr w:type="gramEnd"/>
      <w:r w:rsidRPr="00A07D07">
        <w:rPr>
          <w:rFonts w:ascii="Arial" w:eastAsia="Calibri" w:hAnsi="Arial" w:cs="Arial"/>
          <w:sz w:val="16"/>
          <w:szCs w:val="16"/>
          <w:lang w:eastAsia="en-US"/>
        </w:rPr>
        <w:t>I,III e IV, da Lei nº 8.666/93, multa de 10% (dez por cento), sobre a parcela inadimplida.</w:t>
      </w: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fiscal, garantida a prévia e ampla defesa, ficará impedida de licitar e contratar com o Estado, e será </w:t>
      </w:r>
      <w:proofErr w:type="gramStart"/>
      <w:r w:rsidRPr="00A07D07">
        <w:rPr>
          <w:rFonts w:ascii="Arial" w:eastAsia="Calibri" w:hAnsi="Arial" w:cs="Arial"/>
          <w:sz w:val="16"/>
          <w:szCs w:val="16"/>
          <w:lang w:eastAsia="en-US"/>
        </w:rPr>
        <w:t>descredenciado no Cadastro de Fornecedores Estadual</w:t>
      </w:r>
      <w:proofErr w:type="gramEnd"/>
      <w:r w:rsidRPr="00A07D07">
        <w:rPr>
          <w:rFonts w:ascii="Arial" w:eastAsia="Calibri" w:hAnsi="Arial" w:cs="Arial"/>
          <w:sz w:val="16"/>
          <w:szCs w:val="16"/>
          <w:lang w:eastAsia="en-US"/>
        </w:rPr>
        <w:t>, pelo prazo de até 05 (cinco) anos, sem prejuízo das multas previstas no Edital e das demais cominações legais, devendo ser incluída a penalidade no SICAFI e no CAGEFOR (Cadastro Estadual de Fornecedores Impedidos de Licitar).</w:t>
      </w: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A multa, eventualmente imposta à Contratada, será automaticamente descontada da fatura a que se fizer jus, acrescida de juros moratórios de 1% (um por cento) ao mês. Caso a contratada não tenha nenhum valor a receber do Estado, ser-lhe-á concedido o prazo de 05 (cinco) dias úteis, contados de sua intimação, para efetuar o pagamento da multa. Após o insucesso, seus dados serão encaminhados ao órgão competente para que seja inscrita na dívida ativa, podendo, ainda a Administração proceder á cobrança judicial.</w:t>
      </w: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As multas previstas nesta seção não eximem a adjudicatária ou contratada da reparação dos eventuais danos, perdas ou prejuízos que seu ato punível venha causar à Administração.</w:t>
      </w: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São exemplos de infração administrativa penalizáveis, nos termos da Lei nº 8.666, de 1993, da Lei nº 10.520, de 2002, do Decreto nº 3.555, de 2000, e do Decreto nº 5.450, de 2005.</w:t>
      </w:r>
    </w:p>
    <w:p w:rsidR="00A07D07" w:rsidRPr="00A07D07" w:rsidRDefault="00A07D07" w:rsidP="00A07D07">
      <w:pPr>
        <w:spacing w:after="200"/>
        <w:contextualSpacing/>
        <w:jc w:val="both"/>
        <w:rPr>
          <w:rFonts w:ascii="Arial" w:eastAsia="Calibri" w:hAnsi="Arial" w:cs="Arial"/>
          <w:sz w:val="16"/>
          <w:szCs w:val="16"/>
          <w:lang w:eastAsia="en-US"/>
        </w:rPr>
      </w:pPr>
    </w:p>
    <w:p w:rsidR="00A07D07" w:rsidRPr="00A07D07" w:rsidRDefault="00A07D07" w:rsidP="00A07D07">
      <w:pPr>
        <w:numPr>
          <w:ilvl w:val="0"/>
          <w:numId w:val="30"/>
        </w:numPr>
        <w:spacing w:after="20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Inexecução total ou parcial do contrato;</w:t>
      </w:r>
    </w:p>
    <w:p w:rsidR="00A07D07" w:rsidRPr="00A07D07" w:rsidRDefault="00A07D07" w:rsidP="00A07D07">
      <w:pPr>
        <w:numPr>
          <w:ilvl w:val="0"/>
          <w:numId w:val="30"/>
        </w:numPr>
        <w:spacing w:after="20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Apresentação de documentação falsa;</w:t>
      </w:r>
    </w:p>
    <w:p w:rsidR="00A07D07" w:rsidRPr="00A07D07" w:rsidRDefault="00A07D07" w:rsidP="00A07D07">
      <w:pPr>
        <w:numPr>
          <w:ilvl w:val="0"/>
          <w:numId w:val="30"/>
        </w:numPr>
        <w:spacing w:after="20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Comportamento inidôneo;</w:t>
      </w:r>
    </w:p>
    <w:p w:rsidR="00A07D07" w:rsidRPr="00A07D07" w:rsidRDefault="00A07D07" w:rsidP="00A07D07">
      <w:pPr>
        <w:numPr>
          <w:ilvl w:val="0"/>
          <w:numId w:val="30"/>
        </w:numPr>
        <w:spacing w:after="20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Fraude Fiscal;</w:t>
      </w:r>
    </w:p>
    <w:p w:rsidR="00A07D07" w:rsidRPr="00A07D07" w:rsidRDefault="00A07D07" w:rsidP="00A07D07">
      <w:pPr>
        <w:numPr>
          <w:ilvl w:val="0"/>
          <w:numId w:val="30"/>
        </w:numPr>
        <w:spacing w:after="20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Descumprimento de qualquer dos deveres elencados no Edital ou no Contrato.</w:t>
      </w:r>
    </w:p>
    <w:p w:rsidR="00A07D07" w:rsidRPr="00A07D07" w:rsidRDefault="00A07D07" w:rsidP="00A07D07">
      <w:pPr>
        <w:spacing w:after="200"/>
        <w:ind w:left="720"/>
        <w:contextualSpacing/>
        <w:jc w:val="both"/>
        <w:rPr>
          <w:rFonts w:ascii="Arial" w:eastAsia="Calibri" w:hAnsi="Arial" w:cs="Arial"/>
          <w:sz w:val="16"/>
          <w:szCs w:val="16"/>
          <w:lang w:eastAsia="en-US"/>
        </w:rPr>
      </w:pP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As sanções serão aplicadas sem prejuízo da responsabilidade civil e criminal que possa ser acionada em desfavor da Contratada, conforme infração cometida e prejuízos causados à administração ou a terceiros.</w:t>
      </w:r>
    </w:p>
    <w:p w:rsid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Para efeito de aplicação de multas, às infrações são atribuídos graus, com percentuais de multa conforme a tabela a seguir, que elenca apenas as principais situações previstas, não eximindo de outras equivalentes que surgirem, conforme o caso:</w:t>
      </w:r>
    </w:p>
    <w:p w:rsidR="00A07D07" w:rsidRPr="00A07D07" w:rsidRDefault="00A07D07" w:rsidP="00A07D07">
      <w:pPr>
        <w:spacing w:after="200"/>
        <w:contextualSpacing/>
        <w:jc w:val="both"/>
        <w:rPr>
          <w:rFonts w:ascii="Arial" w:eastAsia="Calibri" w:hAnsi="Arial" w:cs="Arial"/>
          <w:sz w:val="16"/>
          <w:szCs w:val="16"/>
          <w:lang w:eastAsia="en-US"/>
        </w:rPr>
      </w:pPr>
    </w:p>
    <w:tbl>
      <w:tblPr>
        <w:tblW w:w="9072" w:type="dxa"/>
        <w:jc w:val="right"/>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5953"/>
        <w:gridCol w:w="851"/>
        <w:gridCol w:w="1276"/>
      </w:tblGrid>
      <w:tr w:rsidR="00A07D07" w:rsidRPr="00A07D07" w:rsidTr="00FB1EAD">
        <w:trPr>
          <w:jc w:val="right"/>
        </w:trPr>
        <w:tc>
          <w:tcPr>
            <w:tcW w:w="992" w:type="dxa"/>
            <w:shd w:val="clear" w:color="auto" w:fill="FDE9D9"/>
            <w:vAlign w:val="center"/>
          </w:tcPr>
          <w:p w:rsidR="00A07D07" w:rsidRPr="00A07D07" w:rsidRDefault="00A07D07" w:rsidP="00FB1EAD">
            <w:pPr>
              <w:autoSpaceDE w:val="0"/>
              <w:autoSpaceDN w:val="0"/>
              <w:adjustRightInd w:val="0"/>
              <w:ind w:left="-80" w:right="-108"/>
              <w:jc w:val="center"/>
              <w:rPr>
                <w:rFonts w:ascii="Arial" w:hAnsi="Arial" w:cs="Arial"/>
                <w:bCs/>
                <w:sz w:val="16"/>
                <w:szCs w:val="16"/>
              </w:rPr>
            </w:pPr>
            <w:r w:rsidRPr="00A07D07">
              <w:rPr>
                <w:rFonts w:ascii="Arial" w:hAnsi="Arial" w:cs="Arial"/>
                <w:bCs/>
                <w:sz w:val="16"/>
                <w:szCs w:val="16"/>
              </w:rPr>
              <w:t>ITEM</w:t>
            </w:r>
          </w:p>
        </w:tc>
        <w:tc>
          <w:tcPr>
            <w:tcW w:w="5953" w:type="dxa"/>
            <w:shd w:val="clear" w:color="auto" w:fill="FDE9D9"/>
            <w:vAlign w:val="center"/>
          </w:tcPr>
          <w:p w:rsidR="00A07D07" w:rsidRPr="00A07D07" w:rsidRDefault="00A07D07" w:rsidP="00FB1EAD">
            <w:pPr>
              <w:autoSpaceDE w:val="0"/>
              <w:autoSpaceDN w:val="0"/>
              <w:adjustRightInd w:val="0"/>
              <w:ind w:left="115" w:hanging="115"/>
              <w:jc w:val="center"/>
              <w:rPr>
                <w:rFonts w:ascii="Arial" w:hAnsi="Arial" w:cs="Arial"/>
                <w:bCs/>
                <w:sz w:val="16"/>
                <w:szCs w:val="16"/>
              </w:rPr>
            </w:pPr>
            <w:r w:rsidRPr="00A07D07">
              <w:rPr>
                <w:rFonts w:ascii="Arial" w:hAnsi="Arial" w:cs="Arial"/>
                <w:bCs/>
                <w:sz w:val="16"/>
                <w:szCs w:val="16"/>
              </w:rPr>
              <w:t>DESCRIÇÃO DA INFRAÇÃO</w:t>
            </w:r>
          </w:p>
        </w:tc>
        <w:tc>
          <w:tcPr>
            <w:tcW w:w="851" w:type="dxa"/>
            <w:shd w:val="clear" w:color="auto" w:fill="FDE9D9"/>
            <w:vAlign w:val="center"/>
          </w:tcPr>
          <w:p w:rsidR="00A07D07" w:rsidRPr="00A07D07" w:rsidRDefault="00A07D07" w:rsidP="00FB1EAD">
            <w:pPr>
              <w:autoSpaceDE w:val="0"/>
              <w:autoSpaceDN w:val="0"/>
              <w:adjustRightInd w:val="0"/>
              <w:ind w:right="-108"/>
              <w:jc w:val="center"/>
              <w:rPr>
                <w:rFonts w:ascii="Arial" w:hAnsi="Arial" w:cs="Arial"/>
                <w:bCs/>
                <w:sz w:val="16"/>
                <w:szCs w:val="16"/>
              </w:rPr>
            </w:pPr>
            <w:r w:rsidRPr="00A07D07">
              <w:rPr>
                <w:rFonts w:ascii="Arial" w:hAnsi="Arial" w:cs="Arial"/>
                <w:bCs/>
                <w:sz w:val="16"/>
                <w:szCs w:val="16"/>
              </w:rPr>
              <w:t>GRAU</w:t>
            </w:r>
          </w:p>
        </w:tc>
        <w:tc>
          <w:tcPr>
            <w:tcW w:w="1276" w:type="dxa"/>
            <w:shd w:val="clear" w:color="auto" w:fill="FDE9D9"/>
            <w:vAlign w:val="center"/>
          </w:tcPr>
          <w:p w:rsidR="00A07D07" w:rsidRPr="00A07D07" w:rsidRDefault="00A07D07" w:rsidP="00FB1EAD">
            <w:pPr>
              <w:autoSpaceDE w:val="0"/>
              <w:autoSpaceDN w:val="0"/>
              <w:adjustRightInd w:val="0"/>
              <w:jc w:val="center"/>
              <w:rPr>
                <w:rFonts w:ascii="Arial" w:hAnsi="Arial" w:cs="Arial"/>
                <w:bCs/>
                <w:sz w:val="16"/>
                <w:szCs w:val="16"/>
              </w:rPr>
            </w:pPr>
            <w:r w:rsidRPr="00A07D07">
              <w:rPr>
                <w:rFonts w:ascii="Arial" w:hAnsi="Arial" w:cs="Arial"/>
                <w:bCs/>
                <w:sz w:val="16"/>
                <w:szCs w:val="16"/>
              </w:rPr>
              <w:t>MULTA*</w:t>
            </w:r>
          </w:p>
        </w:tc>
      </w:tr>
      <w:tr w:rsidR="00A07D07" w:rsidRPr="00A07D07" w:rsidTr="00FB1EAD">
        <w:trPr>
          <w:jc w:val="right"/>
        </w:trPr>
        <w:tc>
          <w:tcPr>
            <w:tcW w:w="992" w:type="dxa"/>
            <w:vAlign w:val="center"/>
          </w:tcPr>
          <w:p w:rsidR="00A07D07" w:rsidRPr="00A07D07" w:rsidRDefault="00A07D07" w:rsidP="00A07D07">
            <w:pPr>
              <w:numPr>
                <w:ilvl w:val="0"/>
                <w:numId w:val="14"/>
              </w:numPr>
              <w:autoSpaceDE w:val="0"/>
              <w:autoSpaceDN w:val="0"/>
              <w:adjustRightInd w:val="0"/>
              <w:spacing w:after="200"/>
              <w:ind w:left="0" w:firstLine="0"/>
              <w:jc w:val="center"/>
              <w:rPr>
                <w:rFonts w:ascii="Arial" w:hAnsi="Arial" w:cs="Arial"/>
                <w:bCs/>
                <w:sz w:val="16"/>
                <w:szCs w:val="16"/>
              </w:rPr>
            </w:pPr>
          </w:p>
        </w:tc>
        <w:tc>
          <w:tcPr>
            <w:tcW w:w="5953" w:type="dxa"/>
            <w:vAlign w:val="center"/>
          </w:tcPr>
          <w:p w:rsidR="00A07D07" w:rsidRPr="00A07D07" w:rsidRDefault="00A07D07" w:rsidP="00FB1EAD">
            <w:pPr>
              <w:autoSpaceDE w:val="0"/>
              <w:autoSpaceDN w:val="0"/>
              <w:adjustRightInd w:val="0"/>
              <w:jc w:val="both"/>
              <w:rPr>
                <w:rFonts w:ascii="Arial" w:hAnsi="Arial" w:cs="Arial"/>
                <w:sz w:val="16"/>
                <w:szCs w:val="16"/>
              </w:rPr>
            </w:pPr>
            <w:r w:rsidRPr="00A07D07">
              <w:rPr>
                <w:rFonts w:ascii="Arial" w:hAnsi="Arial" w:cs="Arial"/>
                <w:sz w:val="16"/>
                <w:szCs w:val="16"/>
              </w:rPr>
              <w:t>Permitir situação que crie a possibilidade ou cause dano físico, lesão corporal ou consequências letais; por ocorrência.</w:t>
            </w:r>
          </w:p>
        </w:tc>
        <w:tc>
          <w:tcPr>
            <w:tcW w:w="851"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06</w:t>
            </w:r>
          </w:p>
        </w:tc>
        <w:tc>
          <w:tcPr>
            <w:tcW w:w="1276"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4,0% por dia</w:t>
            </w:r>
          </w:p>
        </w:tc>
      </w:tr>
      <w:tr w:rsidR="00A07D07" w:rsidRPr="00A07D07" w:rsidTr="00FB1EAD">
        <w:trPr>
          <w:jc w:val="right"/>
        </w:trPr>
        <w:tc>
          <w:tcPr>
            <w:tcW w:w="992" w:type="dxa"/>
            <w:vAlign w:val="center"/>
          </w:tcPr>
          <w:p w:rsidR="00A07D07" w:rsidRPr="00A07D07" w:rsidRDefault="00A07D07" w:rsidP="00A07D07">
            <w:pPr>
              <w:numPr>
                <w:ilvl w:val="0"/>
                <w:numId w:val="14"/>
              </w:numPr>
              <w:autoSpaceDE w:val="0"/>
              <w:autoSpaceDN w:val="0"/>
              <w:adjustRightInd w:val="0"/>
              <w:spacing w:after="200"/>
              <w:ind w:left="0" w:firstLine="0"/>
              <w:jc w:val="center"/>
              <w:rPr>
                <w:rFonts w:ascii="Arial" w:hAnsi="Arial" w:cs="Arial"/>
                <w:bCs/>
                <w:sz w:val="16"/>
                <w:szCs w:val="16"/>
              </w:rPr>
            </w:pPr>
          </w:p>
        </w:tc>
        <w:tc>
          <w:tcPr>
            <w:tcW w:w="5953" w:type="dxa"/>
            <w:vAlign w:val="center"/>
          </w:tcPr>
          <w:p w:rsidR="00A07D07" w:rsidRPr="00A07D07" w:rsidRDefault="00A07D07" w:rsidP="00FB1EAD">
            <w:pPr>
              <w:autoSpaceDE w:val="0"/>
              <w:autoSpaceDN w:val="0"/>
              <w:adjustRightInd w:val="0"/>
              <w:jc w:val="both"/>
              <w:rPr>
                <w:rFonts w:ascii="Arial" w:hAnsi="Arial" w:cs="Arial"/>
                <w:sz w:val="16"/>
                <w:szCs w:val="16"/>
              </w:rPr>
            </w:pPr>
            <w:r w:rsidRPr="00A07D07">
              <w:rPr>
                <w:rFonts w:ascii="Arial" w:hAnsi="Arial" w:cs="Arial"/>
                <w:sz w:val="16"/>
                <w:szCs w:val="16"/>
              </w:rPr>
              <w:t xml:space="preserve">Suspender ou interromper, salvo por motivo de força maior ou caso fortuito, a entrega dos materiais, por cada </w:t>
            </w:r>
            <w:proofErr w:type="gramStart"/>
            <w:r w:rsidRPr="00A07D07">
              <w:rPr>
                <w:rFonts w:ascii="Arial" w:hAnsi="Arial" w:cs="Arial"/>
                <w:sz w:val="16"/>
                <w:szCs w:val="16"/>
              </w:rPr>
              <w:t>solicitação(</w:t>
            </w:r>
            <w:proofErr w:type="gramEnd"/>
            <w:r w:rsidRPr="00A07D07">
              <w:rPr>
                <w:rFonts w:ascii="Arial" w:hAnsi="Arial" w:cs="Arial"/>
                <w:sz w:val="16"/>
                <w:szCs w:val="16"/>
              </w:rPr>
              <w:t xml:space="preserve">NE). </w:t>
            </w:r>
          </w:p>
        </w:tc>
        <w:tc>
          <w:tcPr>
            <w:tcW w:w="851"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05</w:t>
            </w:r>
          </w:p>
        </w:tc>
        <w:tc>
          <w:tcPr>
            <w:tcW w:w="1276"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3,2% por dia</w:t>
            </w:r>
          </w:p>
        </w:tc>
      </w:tr>
      <w:tr w:rsidR="00A07D07" w:rsidRPr="00A07D07" w:rsidTr="00FB1EAD">
        <w:trPr>
          <w:jc w:val="right"/>
        </w:trPr>
        <w:tc>
          <w:tcPr>
            <w:tcW w:w="992" w:type="dxa"/>
            <w:vAlign w:val="center"/>
          </w:tcPr>
          <w:p w:rsidR="00A07D07" w:rsidRPr="00A07D07" w:rsidRDefault="00A07D07" w:rsidP="00A07D07">
            <w:pPr>
              <w:numPr>
                <w:ilvl w:val="0"/>
                <w:numId w:val="14"/>
              </w:numPr>
              <w:autoSpaceDE w:val="0"/>
              <w:autoSpaceDN w:val="0"/>
              <w:adjustRightInd w:val="0"/>
              <w:spacing w:after="200"/>
              <w:ind w:left="0" w:firstLine="0"/>
              <w:jc w:val="center"/>
              <w:rPr>
                <w:rFonts w:ascii="Arial" w:hAnsi="Arial" w:cs="Arial"/>
                <w:bCs/>
                <w:sz w:val="16"/>
                <w:szCs w:val="16"/>
              </w:rPr>
            </w:pPr>
          </w:p>
        </w:tc>
        <w:tc>
          <w:tcPr>
            <w:tcW w:w="5953" w:type="dxa"/>
            <w:vAlign w:val="center"/>
          </w:tcPr>
          <w:p w:rsidR="00A07D07" w:rsidRPr="00A07D07" w:rsidRDefault="00A07D07" w:rsidP="00FB1EAD">
            <w:pPr>
              <w:autoSpaceDE w:val="0"/>
              <w:autoSpaceDN w:val="0"/>
              <w:adjustRightInd w:val="0"/>
              <w:jc w:val="both"/>
              <w:rPr>
                <w:rFonts w:ascii="Arial" w:hAnsi="Arial" w:cs="Arial"/>
                <w:sz w:val="16"/>
                <w:szCs w:val="16"/>
              </w:rPr>
            </w:pPr>
            <w:r w:rsidRPr="00A07D07">
              <w:rPr>
                <w:rFonts w:ascii="Arial" w:hAnsi="Arial" w:cs="Arial"/>
                <w:sz w:val="16"/>
                <w:szCs w:val="16"/>
              </w:rPr>
              <w:t>Destruir ou danificar documentos por culpa ou dolo de seus agentes; por ocorrência.</w:t>
            </w:r>
          </w:p>
        </w:tc>
        <w:tc>
          <w:tcPr>
            <w:tcW w:w="851"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05</w:t>
            </w:r>
          </w:p>
        </w:tc>
        <w:tc>
          <w:tcPr>
            <w:tcW w:w="1276"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3,2% por dia</w:t>
            </w:r>
          </w:p>
        </w:tc>
      </w:tr>
      <w:tr w:rsidR="00A07D07" w:rsidRPr="00A07D07" w:rsidTr="00FB1EAD">
        <w:trPr>
          <w:jc w:val="right"/>
        </w:trPr>
        <w:tc>
          <w:tcPr>
            <w:tcW w:w="992" w:type="dxa"/>
            <w:vAlign w:val="center"/>
          </w:tcPr>
          <w:p w:rsidR="00A07D07" w:rsidRPr="00A07D07" w:rsidRDefault="00A07D07" w:rsidP="00A07D07">
            <w:pPr>
              <w:numPr>
                <w:ilvl w:val="0"/>
                <w:numId w:val="14"/>
              </w:numPr>
              <w:autoSpaceDE w:val="0"/>
              <w:autoSpaceDN w:val="0"/>
              <w:adjustRightInd w:val="0"/>
              <w:spacing w:after="200"/>
              <w:ind w:left="0" w:firstLine="0"/>
              <w:jc w:val="center"/>
              <w:rPr>
                <w:rFonts w:ascii="Arial" w:hAnsi="Arial" w:cs="Arial"/>
                <w:bCs/>
                <w:sz w:val="16"/>
                <w:szCs w:val="16"/>
              </w:rPr>
            </w:pPr>
          </w:p>
        </w:tc>
        <w:tc>
          <w:tcPr>
            <w:tcW w:w="5953" w:type="dxa"/>
            <w:vAlign w:val="center"/>
          </w:tcPr>
          <w:p w:rsidR="00A07D07" w:rsidRPr="00A07D07" w:rsidRDefault="00A07D07" w:rsidP="00FB1EAD">
            <w:pPr>
              <w:autoSpaceDE w:val="0"/>
              <w:autoSpaceDN w:val="0"/>
              <w:adjustRightInd w:val="0"/>
              <w:jc w:val="both"/>
              <w:rPr>
                <w:rFonts w:ascii="Arial" w:hAnsi="Arial" w:cs="Arial"/>
                <w:sz w:val="16"/>
                <w:szCs w:val="16"/>
              </w:rPr>
            </w:pPr>
            <w:r w:rsidRPr="00A07D07">
              <w:rPr>
                <w:rFonts w:ascii="Arial" w:hAnsi="Arial" w:cs="Arial"/>
                <w:sz w:val="16"/>
                <w:szCs w:val="16"/>
              </w:rPr>
              <w:t>Entregar os materiais incompletos ou deixar de providenciar recomposição complementar; por ocorrência.</w:t>
            </w:r>
          </w:p>
        </w:tc>
        <w:tc>
          <w:tcPr>
            <w:tcW w:w="851"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02</w:t>
            </w:r>
          </w:p>
        </w:tc>
        <w:tc>
          <w:tcPr>
            <w:tcW w:w="1276"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0,4% por dia</w:t>
            </w:r>
          </w:p>
        </w:tc>
      </w:tr>
      <w:tr w:rsidR="00A07D07" w:rsidRPr="00A07D07" w:rsidTr="00FB1EAD">
        <w:trPr>
          <w:jc w:val="right"/>
        </w:trPr>
        <w:tc>
          <w:tcPr>
            <w:tcW w:w="992" w:type="dxa"/>
            <w:vAlign w:val="center"/>
          </w:tcPr>
          <w:p w:rsidR="00A07D07" w:rsidRPr="00A07D07" w:rsidRDefault="00A07D07" w:rsidP="00A07D07">
            <w:pPr>
              <w:numPr>
                <w:ilvl w:val="0"/>
                <w:numId w:val="14"/>
              </w:numPr>
              <w:autoSpaceDE w:val="0"/>
              <w:autoSpaceDN w:val="0"/>
              <w:adjustRightInd w:val="0"/>
              <w:spacing w:after="200"/>
              <w:ind w:left="0" w:firstLine="0"/>
              <w:jc w:val="center"/>
              <w:rPr>
                <w:rFonts w:ascii="Arial" w:hAnsi="Arial" w:cs="Arial"/>
                <w:bCs/>
                <w:sz w:val="16"/>
                <w:szCs w:val="16"/>
              </w:rPr>
            </w:pPr>
          </w:p>
        </w:tc>
        <w:tc>
          <w:tcPr>
            <w:tcW w:w="5953" w:type="dxa"/>
            <w:vAlign w:val="center"/>
          </w:tcPr>
          <w:p w:rsidR="00A07D07" w:rsidRPr="00A07D07" w:rsidRDefault="00A07D07" w:rsidP="00FB1EAD">
            <w:pPr>
              <w:autoSpaceDE w:val="0"/>
              <w:autoSpaceDN w:val="0"/>
              <w:adjustRightInd w:val="0"/>
              <w:jc w:val="both"/>
              <w:rPr>
                <w:rFonts w:ascii="Arial" w:hAnsi="Arial" w:cs="Arial"/>
                <w:sz w:val="16"/>
                <w:szCs w:val="16"/>
              </w:rPr>
            </w:pPr>
            <w:r w:rsidRPr="00A07D07">
              <w:rPr>
                <w:rFonts w:ascii="Arial" w:hAnsi="Arial" w:cs="Arial"/>
                <w:sz w:val="16"/>
                <w:szCs w:val="16"/>
              </w:rPr>
              <w:t>Fornecer informação pérfida referente à entrega dos materiais, por ocorrência.</w:t>
            </w:r>
          </w:p>
        </w:tc>
        <w:tc>
          <w:tcPr>
            <w:tcW w:w="851"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02</w:t>
            </w:r>
          </w:p>
        </w:tc>
        <w:tc>
          <w:tcPr>
            <w:tcW w:w="1276"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0,4% por dia</w:t>
            </w:r>
          </w:p>
        </w:tc>
      </w:tr>
      <w:tr w:rsidR="00A07D07" w:rsidRPr="00A07D07" w:rsidTr="00FB1EAD">
        <w:trPr>
          <w:jc w:val="right"/>
        </w:trPr>
        <w:tc>
          <w:tcPr>
            <w:tcW w:w="9072" w:type="dxa"/>
            <w:gridSpan w:val="4"/>
            <w:vAlign w:val="center"/>
          </w:tcPr>
          <w:p w:rsidR="00A07D07" w:rsidRPr="00A07D07" w:rsidRDefault="00A07D07" w:rsidP="00FB1EAD">
            <w:pPr>
              <w:autoSpaceDE w:val="0"/>
              <w:autoSpaceDN w:val="0"/>
              <w:adjustRightInd w:val="0"/>
              <w:jc w:val="center"/>
              <w:rPr>
                <w:rFonts w:ascii="Arial" w:hAnsi="Arial" w:cs="Arial"/>
                <w:bCs/>
                <w:sz w:val="16"/>
                <w:szCs w:val="16"/>
              </w:rPr>
            </w:pPr>
            <w:r w:rsidRPr="00A07D07">
              <w:rPr>
                <w:rFonts w:ascii="Arial" w:hAnsi="Arial" w:cs="Arial"/>
                <w:bCs/>
                <w:sz w:val="16"/>
                <w:szCs w:val="16"/>
              </w:rPr>
              <w:t>Para os itens a seguir, deixar de:</w:t>
            </w:r>
          </w:p>
        </w:tc>
      </w:tr>
      <w:tr w:rsidR="00A07D07" w:rsidRPr="00A07D07" w:rsidTr="00FB1EAD">
        <w:trPr>
          <w:jc w:val="right"/>
        </w:trPr>
        <w:tc>
          <w:tcPr>
            <w:tcW w:w="992" w:type="dxa"/>
            <w:vAlign w:val="center"/>
          </w:tcPr>
          <w:p w:rsidR="00A07D07" w:rsidRPr="00A07D07" w:rsidRDefault="00A07D07" w:rsidP="00A07D07">
            <w:pPr>
              <w:numPr>
                <w:ilvl w:val="0"/>
                <w:numId w:val="14"/>
              </w:numPr>
              <w:autoSpaceDE w:val="0"/>
              <w:autoSpaceDN w:val="0"/>
              <w:adjustRightInd w:val="0"/>
              <w:spacing w:after="200"/>
              <w:ind w:left="0" w:firstLine="0"/>
              <w:jc w:val="center"/>
              <w:rPr>
                <w:rFonts w:ascii="Arial" w:hAnsi="Arial" w:cs="Arial"/>
                <w:bCs/>
                <w:sz w:val="16"/>
                <w:szCs w:val="16"/>
              </w:rPr>
            </w:pPr>
          </w:p>
        </w:tc>
        <w:tc>
          <w:tcPr>
            <w:tcW w:w="5953" w:type="dxa"/>
            <w:vAlign w:val="center"/>
          </w:tcPr>
          <w:p w:rsidR="00A07D07" w:rsidRPr="00A07D07" w:rsidRDefault="00A07D07" w:rsidP="00FB1EAD">
            <w:pPr>
              <w:autoSpaceDE w:val="0"/>
              <w:autoSpaceDN w:val="0"/>
              <w:adjustRightInd w:val="0"/>
              <w:jc w:val="both"/>
              <w:rPr>
                <w:rFonts w:ascii="Arial" w:hAnsi="Arial" w:cs="Arial"/>
                <w:sz w:val="16"/>
                <w:szCs w:val="16"/>
              </w:rPr>
            </w:pPr>
            <w:r w:rsidRPr="00A07D07">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851"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05</w:t>
            </w:r>
          </w:p>
        </w:tc>
        <w:tc>
          <w:tcPr>
            <w:tcW w:w="1276" w:type="dxa"/>
            <w:vAlign w:val="center"/>
          </w:tcPr>
          <w:p w:rsidR="00A07D07" w:rsidRPr="00A07D07" w:rsidRDefault="00A07D07" w:rsidP="00FB1EAD">
            <w:pPr>
              <w:autoSpaceDE w:val="0"/>
              <w:autoSpaceDN w:val="0"/>
              <w:adjustRightInd w:val="0"/>
              <w:jc w:val="center"/>
              <w:rPr>
                <w:rFonts w:ascii="Arial" w:hAnsi="Arial" w:cs="Arial"/>
                <w:sz w:val="16"/>
                <w:szCs w:val="16"/>
              </w:rPr>
            </w:pPr>
            <w:r w:rsidRPr="00A07D07">
              <w:rPr>
                <w:rFonts w:ascii="Arial" w:hAnsi="Arial" w:cs="Arial"/>
                <w:bCs/>
                <w:sz w:val="16"/>
                <w:szCs w:val="16"/>
              </w:rPr>
              <w:t>3,2% por dia</w:t>
            </w:r>
          </w:p>
        </w:tc>
      </w:tr>
      <w:tr w:rsidR="00A07D07" w:rsidRPr="00A07D07" w:rsidTr="00FB1EAD">
        <w:trPr>
          <w:trHeight w:val="558"/>
          <w:jc w:val="right"/>
        </w:trPr>
        <w:tc>
          <w:tcPr>
            <w:tcW w:w="992" w:type="dxa"/>
            <w:vAlign w:val="center"/>
          </w:tcPr>
          <w:p w:rsidR="00A07D07" w:rsidRPr="00A07D07" w:rsidRDefault="00A07D07" w:rsidP="00A07D07">
            <w:pPr>
              <w:numPr>
                <w:ilvl w:val="0"/>
                <w:numId w:val="14"/>
              </w:numPr>
              <w:autoSpaceDE w:val="0"/>
              <w:autoSpaceDN w:val="0"/>
              <w:adjustRightInd w:val="0"/>
              <w:spacing w:after="200"/>
              <w:ind w:left="0" w:firstLine="0"/>
              <w:jc w:val="center"/>
              <w:rPr>
                <w:rFonts w:ascii="Arial" w:hAnsi="Arial" w:cs="Arial"/>
                <w:bCs/>
                <w:sz w:val="16"/>
                <w:szCs w:val="16"/>
              </w:rPr>
            </w:pPr>
          </w:p>
        </w:tc>
        <w:tc>
          <w:tcPr>
            <w:tcW w:w="5953" w:type="dxa"/>
            <w:vAlign w:val="center"/>
          </w:tcPr>
          <w:p w:rsidR="00A07D07" w:rsidRPr="00A07D07" w:rsidRDefault="00A07D07" w:rsidP="00FB1EAD">
            <w:pPr>
              <w:autoSpaceDE w:val="0"/>
              <w:autoSpaceDN w:val="0"/>
              <w:adjustRightInd w:val="0"/>
              <w:jc w:val="both"/>
              <w:rPr>
                <w:rFonts w:ascii="Arial" w:hAnsi="Arial" w:cs="Arial"/>
                <w:sz w:val="16"/>
                <w:szCs w:val="16"/>
              </w:rPr>
            </w:pPr>
            <w:r w:rsidRPr="00A07D07">
              <w:rPr>
                <w:rFonts w:ascii="Arial" w:hAnsi="Arial" w:cs="Arial"/>
                <w:sz w:val="16"/>
                <w:szCs w:val="16"/>
              </w:rPr>
              <w:t>Iniciar a entrega dos materiais no prazo estabelecido.</w:t>
            </w:r>
          </w:p>
        </w:tc>
        <w:tc>
          <w:tcPr>
            <w:tcW w:w="851" w:type="dxa"/>
            <w:vAlign w:val="center"/>
          </w:tcPr>
          <w:p w:rsidR="00A07D07" w:rsidRPr="00A07D07" w:rsidRDefault="00A07D07" w:rsidP="00FB1EAD">
            <w:pPr>
              <w:autoSpaceDE w:val="0"/>
              <w:autoSpaceDN w:val="0"/>
              <w:adjustRightInd w:val="0"/>
              <w:jc w:val="center"/>
              <w:rPr>
                <w:rFonts w:ascii="Arial" w:hAnsi="Arial" w:cs="Arial"/>
                <w:bCs/>
                <w:sz w:val="16"/>
                <w:szCs w:val="16"/>
              </w:rPr>
            </w:pPr>
            <w:r w:rsidRPr="00A07D07">
              <w:rPr>
                <w:rFonts w:ascii="Arial" w:hAnsi="Arial" w:cs="Arial"/>
                <w:bCs/>
                <w:sz w:val="16"/>
                <w:szCs w:val="16"/>
              </w:rPr>
              <w:t>03</w:t>
            </w:r>
          </w:p>
        </w:tc>
        <w:tc>
          <w:tcPr>
            <w:tcW w:w="1276" w:type="dxa"/>
            <w:vAlign w:val="center"/>
          </w:tcPr>
          <w:p w:rsidR="00A07D07" w:rsidRPr="00A07D07" w:rsidRDefault="00A07D07" w:rsidP="00FB1EAD">
            <w:pPr>
              <w:autoSpaceDE w:val="0"/>
              <w:autoSpaceDN w:val="0"/>
              <w:adjustRightInd w:val="0"/>
              <w:jc w:val="center"/>
              <w:rPr>
                <w:rFonts w:ascii="Arial" w:hAnsi="Arial" w:cs="Arial"/>
                <w:bCs/>
                <w:sz w:val="16"/>
                <w:szCs w:val="16"/>
              </w:rPr>
            </w:pPr>
            <w:r w:rsidRPr="00A07D07">
              <w:rPr>
                <w:rFonts w:ascii="Arial" w:hAnsi="Arial" w:cs="Arial"/>
                <w:bCs/>
                <w:sz w:val="16"/>
                <w:szCs w:val="16"/>
              </w:rPr>
              <w:t>0,8% por dia</w:t>
            </w:r>
          </w:p>
        </w:tc>
      </w:tr>
      <w:tr w:rsidR="00A07D07" w:rsidRPr="00A07D07" w:rsidTr="00FB1EAD">
        <w:trPr>
          <w:jc w:val="right"/>
        </w:trPr>
        <w:tc>
          <w:tcPr>
            <w:tcW w:w="992" w:type="dxa"/>
            <w:vAlign w:val="center"/>
          </w:tcPr>
          <w:p w:rsidR="00A07D07" w:rsidRPr="00A07D07" w:rsidRDefault="00A07D07" w:rsidP="00A07D07">
            <w:pPr>
              <w:numPr>
                <w:ilvl w:val="0"/>
                <w:numId w:val="14"/>
              </w:numPr>
              <w:autoSpaceDE w:val="0"/>
              <w:autoSpaceDN w:val="0"/>
              <w:adjustRightInd w:val="0"/>
              <w:spacing w:after="200"/>
              <w:ind w:left="0" w:firstLine="0"/>
              <w:jc w:val="center"/>
              <w:rPr>
                <w:rFonts w:ascii="Arial" w:hAnsi="Arial" w:cs="Arial"/>
                <w:bCs/>
                <w:sz w:val="16"/>
                <w:szCs w:val="16"/>
              </w:rPr>
            </w:pPr>
          </w:p>
        </w:tc>
        <w:tc>
          <w:tcPr>
            <w:tcW w:w="5953" w:type="dxa"/>
            <w:vAlign w:val="center"/>
          </w:tcPr>
          <w:p w:rsidR="00A07D07" w:rsidRPr="00A07D07" w:rsidRDefault="00A07D07" w:rsidP="00FB1EAD">
            <w:pPr>
              <w:autoSpaceDE w:val="0"/>
              <w:autoSpaceDN w:val="0"/>
              <w:adjustRightInd w:val="0"/>
              <w:jc w:val="both"/>
              <w:rPr>
                <w:rFonts w:ascii="Arial" w:hAnsi="Arial" w:cs="Arial"/>
                <w:sz w:val="16"/>
                <w:szCs w:val="16"/>
              </w:rPr>
            </w:pPr>
            <w:r w:rsidRPr="00A07D07">
              <w:rPr>
                <w:rFonts w:ascii="Arial" w:hAnsi="Arial" w:cs="Arial"/>
                <w:sz w:val="16"/>
                <w:szCs w:val="16"/>
              </w:rPr>
              <w:t xml:space="preserve">Cumprir quaisquer dos itens do </w:t>
            </w:r>
            <w:proofErr w:type="gramStart"/>
            <w:r w:rsidRPr="00A07D07">
              <w:rPr>
                <w:rFonts w:ascii="Arial" w:hAnsi="Arial" w:cs="Arial"/>
                <w:sz w:val="16"/>
                <w:szCs w:val="16"/>
              </w:rPr>
              <w:t>Edital e anexos</w:t>
            </w:r>
            <w:proofErr w:type="gramEnd"/>
            <w:r w:rsidRPr="00A07D07">
              <w:rPr>
                <w:rFonts w:ascii="Arial" w:hAnsi="Arial" w:cs="Arial"/>
                <w:sz w:val="16"/>
                <w:szCs w:val="16"/>
              </w:rPr>
              <w:t>, mesmo que não previstos nesta tabela de multas, após reincidência formalmente notificada pela fiscalização; por ocorrência.</w:t>
            </w:r>
          </w:p>
        </w:tc>
        <w:tc>
          <w:tcPr>
            <w:tcW w:w="851" w:type="dxa"/>
            <w:vAlign w:val="center"/>
          </w:tcPr>
          <w:p w:rsidR="00A07D07" w:rsidRPr="00A07D07" w:rsidRDefault="00A07D07" w:rsidP="00FB1EAD">
            <w:pPr>
              <w:autoSpaceDE w:val="0"/>
              <w:autoSpaceDN w:val="0"/>
              <w:adjustRightInd w:val="0"/>
              <w:jc w:val="center"/>
              <w:rPr>
                <w:rFonts w:ascii="Arial" w:hAnsi="Arial" w:cs="Arial"/>
                <w:bCs/>
                <w:sz w:val="16"/>
                <w:szCs w:val="16"/>
              </w:rPr>
            </w:pPr>
            <w:r w:rsidRPr="00A07D07">
              <w:rPr>
                <w:rFonts w:ascii="Arial" w:hAnsi="Arial" w:cs="Arial"/>
                <w:bCs/>
                <w:sz w:val="16"/>
                <w:szCs w:val="16"/>
              </w:rPr>
              <w:t>02</w:t>
            </w:r>
          </w:p>
        </w:tc>
        <w:tc>
          <w:tcPr>
            <w:tcW w:w="1276" w:type="dxa"/>
            <w:vAlign w:val="center"/>
          </w:tcPr>
          <w:p w:rsidR="00A07D07" w:rsidRPr="00A07D07" w:rsidRDefault="00A07D07" w:rsidP="00FB1EAD">
            <w:pPr>
              <w:autoSpaceDE w:val="0"/>
              <w:autoSpaceDN w:val="0"/>
              <w:adjustRightInd w:val="0"/>
              <w:jc w:val="center"/>
              <w:rPr>
                <w:rFonts w:ascii="Arial" w:hAnsi="Arial" w:cs="Arial"/>
                <w:bCs/>
                <w:sz w:val="16"/>
                <w:szCs w:val="16"/>
              </w:rPr>
            </w:pPr>
            <w:r w:rsidRPr="00A07D07">
              <w:rPr>
                <w:rFonts w:ascii="Arial" w:hAnsi="Arial" w:cs="Arial"/>
                <w:bCs/>
                <w:sz w:val="16"/>
                <w:szCs w:val="16"/>
              </w:rPr>
              <w:t>0,4% por dia</w:t>
            </w:r>
          </w:p>
        </w:tc>
      </w:tr>
      <w:tr w:rsidR="00A07D07" w:rsidRPr="00A07D07" w:rsidTr="00FB1EAD">
        <w:trPr>
          <w:trHeight w:val="219"/>
          <w:jc w:val="right"/>
        </w:trPr>
        <w:tc>
          <w:tcPr>
            <w:tcW w:w="992" w:type="dxa"/>
            <w:vAlign w:val="center"/>
          </w:tcPr>
          <w:p w:rsidR="00A07D07" w:rsidRPr="00A07D07" w:rsidRDefault="00A07D07" w:rsidP="00A07D07">
            <w:pPr>
              <w:numPr>
                <w:ilvl w:val="0"/>
                <w:numId w:val="14"/>
              </w:numPr>
              <w:autoSpaceDE w:val="0"/>
              <w:autoSpaceDN w:val="0"/>
              <w:adjustRightInd w:val="0"/>
              <w:spacing w:after="200"/>
              <w:ind w:left="0" w:firstLine="0"/>
              <w:jc w:val="center"/>
              <w:rPr>
                <w:rFonts w:ascii="Arial" w:hAnsi="Arial" w:cs="Arial"/>
                <w:bCs/>
                <w:sz w:val="16"/>
                <w:szCs w:val="16"/>
              </w:rPr>
            </w:pPr>
          </w:p>
        </w:tc>
        <w:tc>
          <w:tcPr>
            <w:tcW w:w="5953" w:type="dxa"/>
            <w:vAlign w:val="center"/>
          </w:tcPr>
          <w:p w:rsidR="00A07D07" w:rsidRPr="00A07D07" w:rsidRDefault="00A07D07" w:rsidP="00FB1EAD">
            <w:pPr>
              <w:autoSpaceDE w:val="0"/>
              <w:autoSpaceDN w:val="0"/>
              <w:adjustRightInd w:val="0"/>
              <w:jc w:val="both"/>
              <w:rPr>
                <w:rFonts w:ascii="Arial" w:hAnsi="Arial" w:cs="Arial"/>
                <w:sz w:val="16"/>
                <w:szCs w:val="16"/>
              </w:rPr>
            </w:pPr>
            <w:r w:rsidRPr="00A07D07">
              <w:rPr>
                <w:rFonts w:ascii="Arial" w:hAnsi="Arial" w:cs="Arial"/>
                <w:sz w:val="16"/>
                <w:szCs w:val="16"/>
              </w:rPr>
              <w:t>Manter a documentação de habilitação atualizada; por item, por ocorrência.</w:t>
            </w:r>
          </w:p>
        </w:tc>
        <w:tc>
          <w:tcPr>
            <w:tcW w:w="851" w:type="dxa"/>
            <w:vAlign w:val="center"/>
          </w:tcPr>
          <w:p w:rsidR="00A07D07" w:rsidRPr="00A07D07" w:rsidRDefault="00A07D07" w:rsidP="00FB1EAD">
            <w:pPr>
              <w:autoSpaceDE w:val="0"/>
              <w:autoSpaceDN w:val="0"/>
              <w:adjustRightInd w:val="0"/>
              <w:jc w:val="center"/>
              <w:rPr>
                <w:rFonts w:ascii="Arial" w:hAnsi="Arial" w:cs="Arial"/>
                <w:bCs/>
                <w:sz w:val="16"/>
                <w:szCs w:val="16"/>
              </w:rPr>
            </w:pPr>
            <w:r w:rsidRPr="00A07D07">
              <w:rPr>
                <w:rFonts w:ascii="Arial" w:hAnsi="Arial" w:cs="Arial"/>
                <w:bCs/>
                <w:sz w:val="16"/>
                <w:szCs w:val="16"/>
              </w:rPr>
              <w:t>01</w:t>
            </w:r>
          </w:p>
        </w:tc>
        <w:tc>
          <w:tcPr>
            <w:tcW w:w="1276" w:type="dxa"/>
            <w:vAlign w:val="center"/>
          </w:tcPr>
          <w:p w:rsidR="00A07D07" w:rsidRPr="00A07D07" w:rsidRDefault="00A07D07" w:rsidP="00FB1EAD">
            <w:pPr>
              <w:autoSpaceDE w:val="0"/>
              <w:autoSpaceDN w:val="0"/>
              <w:adjustRightInd w:val="0"/>
              <w:jc w:val="center"/>
              <w:rPr>
                <w:rFonts w:ascii="Arial" w:hAnsi="Arial" w:cs="Arial"/>
                <w:bCs/>
                <w:sz w:val="16"/>
                <w:szCs w:val="16"/>
              </w:rPr>
            </w:pPr>
            <w:r w:rsidRPr="00A07D07">
              <w:rPr>
                <w:rFonts w:ascii="Arial" w:hAnsi="Arial" w:cs="Arial"/>
                <w:bCs/>
                <w:sz w:val="16"/>
                <w:szCs w:val="16"/>
              </w:rPr>
              <w:t>0,2% por dia</w:t>
            </w:r>
          </w:p>
        </w:tc>
      </w:tr>
    </w:tbl>
    <w:p w:rsidR="00A07D07" w:rsidRPr="00A07D07" w:rsidRDefault="00A07D07" w:rsidP="00A07D07">
      <w:pPr>
        <w:spacing w:after="200"/>
        <w:contextualSpacing/>
        <w:jc w:val="both"/>
        <w:rPr>
          <w:rFonts w:ascii="Arial" w:eastAsia="Calibri" w:hAnsi="Arial" w:cs="Arial"/>
          <w:sz w:val="16"/>
          <w:szCs w:val="16"/>
          <w:lang w:eastAsia="en-US"/>
        </w:rPr>
      </w:pP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lastRenderedPageBreak/>
        <w:t>Após 30 (trinta) dias da falta de execução do objeto, será considerada inexecução total do contrato, o que ensejará a rescisão contratual.</w:t>
      </w: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As sanções de natureza pecuniária serão diretamente descontadas de créditos que eventualmente detenha a CONTRATADA ou efetuada a sua cobrança na forma prevista em lei.</w:t>
      </w: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A autoridade competente, na aplicação das sanções, levará em consideração a gravidade da conduta do infrator, o caráter educativo da pena, bem como o dano causado á Administração, observado o princípio da proporcionalidade.</w:t>
      </w:r>
    </w:p>
    <w:p w:rsidR="00A07D07" w:rsidRP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 xml:space="preserve"> A sanção </w:t>
      </w:r>
      <w:proofErr w:type="spellStart"/>
      <w:r w:rsidRPr="00A07D07">
        <w:rPr>
          <w:rFonts w:ascii="Arial" w:eastAsia="Calibri" w:hAnsi="Arial" w:cs="Arial"/>
          <w:sz w:val="16"/>
          <w:szCs w:val="16"/>
          <w:lang w:eastAsia="en-US"/>
        </w:rPr>
        <w:t>seráobrigatoriamente</w:t>
      </w:r>
      <w:proofErr w:type="spellEnd"/>
      <w:r w:rsidRPr="00A07D07">
        <w:rPr>
          <w:rFonts w:ascii="Arial" w:eastAsia="Calibri" w:hAnsi="Arial" w:cs="Arial"/>
          <w:sz w:val="16"/>
          <w:szCs w:val="16"/>
          <w:lang w:eastAsia="en-US"/>
        </w:rPr>
        <w:t xml:space="preserve"> registrada no sistema de Cadastramento Unificado de Fornecedores – SICAF, bem como em sistemas Estaduais.</w:t>
      </w:r>
    </w:p>
    <w:p w:rsidR="00A07D07" w:rsidRDefault="00A07D07" w:rsidP="00A07D07">
      <w:pPr>
        <w:numPr>
          <w:ilvl w:val="0"/>
          <w:numId w:val="29"/>
        </w:numPr>
        <w:spacing w:after="200"/>
        <w:ind w:left="0" w:firstLine="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07D07" w:rsidRPr="00A07D07" w:rsidRDefault="00A07D07" w:rsidP="00A07D07">
      <w:pPr>
        <w:spacing w:after="200"/>
        <w:contextualSpacing/>
        <w:jc w:val="both"/>
        <w:rPr>
          <w:rFonts w:ascii="Arial" w:eastAsia="Calibri" w:hAnsi="Arial" w:cs="Arial"/>
          <w:sz w:val="16"/>
          <w:szCs w:val="16"/>
          <w:lang w:eastAsia="en-US"/>
        </w:rPr>
      </w:pPr>
    </w:p>
    <w:p w:rsidR="00A07D07" w:rsidRPr="00A07D07" w:rsidRDefault="00A07D07" w:rsidP="00A07D07">
      <w:pPr>
        <w:numPr>
          <w:ilvl w:val="0"/>
          <w:numId w:val="31"/>
        </w:numPr>
        <w:spacing w:after="20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Tenham sofrido condenações definitivas por praticarem, por meio dolosos, fraude fiscal no recolhimento de tributos;</w:t>
      </w:r>
    </w:p>
    <w:p w:rsidR="00A07D07" w:rsidRPr="00A07D07" w:rsidRDefault="00A07D07" w:rsidP="00A07D07">
      <w:pPr>
        <w:numPr>
          <w:ilvl w:val="0"/>
          <w:numId w:val="31"/>
        </w:numPr>
        <w:spacing w:after="200"/>
        <w:contextualSpacing/>
        <w:jc w:val="both"/>
        <w:rPr>
          <w:rFonts w:ascii="Arial" w:eastAsia="Calibri" w:hAnsi="Arial" w:cs="Arial"/>
          <w:sz w:val="16"/>
          <w:szCs w:val="16"/>
          <w:lang w:eastAsia="en-US"/>
        </w:rPr>
      </w:pPr>
      <w:r w:rsidRPr="00A07D07">
        <w:rPr>
          <w:rFonts w:ascii="Arial" w:eastAsia="Calibri" w:hAnsi="Arial" w:cs="Arial"/>
          <w:sz w:val="16"/>
          <w:szCs w:val="16"/>
          <w:lang w:eastAsia="en-US"/>
        </w:rPr>
        <w:t>Tenham praticado atos ilícitos visando a frustrar os objetivos da licitação;</w:t>
      </w:r>
    </w:p>
    <w:p w:rsidR="00A07D07" w:rsidRPr="00A07D07" w:rsidRDefault="00A07D07" w:rsidP="00A07D07">
      <w:pPr>
        <w:numPr>
          <w:ilvl w:val="0"/>
          <w:numId w:val="31"/>
        </w:numPr>
        <w:spacing w:after="200"/>
        <w:contextualSpacing/>
        <w:jc w:val="both"/>
        <w:rPr>
          <w:rFonts w:ascii="Arial" w:eastAsia="Calibri" w:hAnsi="Arial" w:cs="Arial"/>
          <w:sz w:val="16"/>
          <w:szCs w:val="16"/>
          <w:lang w:eastAsia="en-US"/>
        </w:rPr>
      </w:pPr>
      <w:proofErr w:type="gramStart"/>
      <w:r w:rsidRPr="00A07D07">
        <w:rPr>
          <w:rFonts w:ascii="Arial" w:eastAsia="Calibri" w:hAnsi="Arial" w:cs="Arial"/>
          <w:sz w:val="16"/>
          <w:szCs w:val="16"/>
          <w:lang w:eastAsia="en-US"/>
        </w:rPr>
        <w:t>Demonstrem</w:t>
      </w:r>
      <w:proofErr w:type="gramEnd"/>
      <w:r w:rsidRPr="00A07D07">
        <w:rPr>
          <w:rFonts w:ascii="Arial" w:eastAsia="Calibri" w:hAnsi="Arial" w:cs="Arial"/>
          <w:sz w:val="16"/>
          <w:szCs w:val="16"/>
          <w:lang w:eastAsia="en-US"/>
        </w:rPr>
        <w:t xml:space="preserve"> não possuir idoneidade para </w:t>
      </w:r>
      <w:proofErr w:type="spellStart"/>
      <w:r w:rsidRPr="00A07D07">
        <w:rPr>
          <w:rFonts w:ascii="Arial" w:eastAsia="Calibri" w:hAnsi="Arial" w:cs="Arial"/>
          <w:sz w:val="16"/>
          <w:szCs w:val="16"/>
          <w:lang w:eastAsia="en-US"/>
        </w:rPr>
        <w:t>contratarcom</w:t>
      </w:r>
      <w:proofErr w:type="spellEnd"/>
      <w:r w:rsidRPr="00A07D07">
        <w:rPr>
          <w:rFonts w:ascii="Arial" w:eastAsia="Calibri" w:hAnsi="Arial" w:cs="Arial"/>
          <w:sz w:val="16"/>
          <w:szCs w:val="16"/>
          <w:lang w:eastAsia="en-US"/>
        </w:rPr>
        <w:t xml:space="preserve"> a Administração em virtude de atos ilícitos praticados.</w:t>
      </w:r>
    </w:p>
    <w:p w:rsidR="00A07D07" w:rsidRDefault="00A07D07" w:rsidP="00E13289">
      <w:pPr>
        <w:jc w:val="both"/>
        <w:rPr>
          <w:rFonts w:ascii="Arial" w:hAnsi="Arial" w:cs="Arial"/>
          <w:b/>
          <w:sz w:val="16"/>
          <w:szCs w:val="16"/>
        </w:rPr>
      </w:pPr>
    </w:p>
    <w:p w:rsidR="00A07D07" w:rsidRDefault="00A07D07" w:rsidP="00E13289">
      <w:pPr>
        <w:jc w:val="both"/>
        <w:rPr>
          <w:rFonts w:ascii="Arial" w:hAnsi="Arial" w:cs="Arial"/>
          <w:b/>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lastRenderedPageBreak/>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2D55DF" w:rsidRPr="001643CD">
        <w:rPr>
          <w:rFonts w:ascii="Arial" w:hAnsi="Arial" w:cs="Arial"/>
          <w:sz w:val="16"/>
          <w:szCs w:val="16"/>
        </w:rPr>
        <w:t>Secretaria De Estado Da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65147A" w:rsidP="00526790">
      <w:pPr>
        <w:ind w:right="47"/>
        <w:jc w:val="both"/>
        <w:rPr>
          <w:rFonts w:ascii="Arial" w:hAnsi="Arial" w:cs="Arial"/>
          <w:b/>
          <w:bCs/>
          <w:color w:val="000000"/>
          <w:sz w:val="8"/>
          <w:szCs w:val="8"/>
        </w:rPr>
      </w:pPr>
      <w:r>
        <w:rPr>
          <w:rFonts w:ascii="Arial" w:hAnsi="Arial" w:cs="Arial"/>
          <w:b/>
          <w:bCs/>
          <w:color w:val="000000"/>
          <w:sz w:val="8"/>
          <w:szCs w:val="8"/>
        </w:rPr>
        <w:t>CMV</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FC6" w:rsidRDefault="00EF1FC6">
      <w:r>
        <w:separator/>
      </w:r>
    </w:p>
  </w:endnote>
  <w:endnote w:type="continuationSeparator" w:id="0">
    <w:p w:rsidR="00EF1FC6" w:rsidRDefault="00EF1F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FC6" w:rsidRDefault="00EF1FC6">
      <w:r>
        <w:separator/>
      </w:r>
    </w:p>
  </w:footnote>
  <w:footnote w:type="continuationSeparator" w:id="0">
    <w:p w:rsidR="00EF1FC6" w:rsidRDefault="00EF1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FC6" w:rsidRDefault="00EF1FC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D9F5B75"/>
    <w:multiLevelType w:val="hybridMultilevel"/>
    <w:tmpl w:val="DD8C0488"/>
    <w:lvl w:ilvl="0" w:tplc="E2BC030A">
      <w:start w:val="1"/>
      <w:numFmt w:val="decimal"/>
      <w:lvlText w:val="9.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E1A5566"/>
    <w:multiLevelType w:val="hybridMultilevel"/>
    <w:tmpl w:val="7242D28A"/>
    <w:lvl w:ilvl="0" w:tplc="67C69200">
      <w:start w:val="8"/>
      <w:numFmt w:val="decimal"/>
      <w:lvlText w:val="9.1.%1"/>
      <w:lvlJc w:val="left"/>
      <w:pPr>
        <w:ind w:left="928" w:hanging="360"/>
      </w:pPr>
      <w:rPr>
        <w:rFonts w:hint="default"/>
        <w:b/>
        <w:color w:val="auto"/>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B4E0D44"/>
    <w:multiLevelType w:val="hybridMultilevel"/>
    <w:tmpl w:val="1AC697F4"/>
    <w:lvl w:ilvl="0" w:tplc="59768098">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D890FA0"/>
    <w:multiLevelType w:val="hybridMultilevel"/>
    <w:tmpl w:val="FE96848C"/>
    <w:lvl w:ilvl="0" w:tplc="9A24BE10">
      <w:start w:val="1"/>
      <w:numFmt w:val="decimal"/>
      <w:lvlText w:val="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DC766BD"/>
    <w:multiLevelType w:val="hybridMultilevel"/>
    <w:tmpl w:val="462EE476"/>
    <w:lvl w:ilvl="0" w:tplc="1AD0DE12">
      <w:start w:val="1"/>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nsid w:val="76130506"/>
    <w:multiLevelType w:val="hybridMultilevel"/>
    <w:tmpl w:val="5A0623A0"/>
    <w:lvl w:ilvl="0" w:tplc="D0828C92">
      <w:start w:val="1"/>
      <w:numFmt w:val="decimal"/>
      <w:lvlText w:val="9.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3"/>
  </w:num>
  <w:num w:numId="2">
    <w:abstractNumId w:val="16"/>
  </w:num>
  <w:num w:numId="3">
    <w:abstractNumId w:val="5"/>
  </w:num>
  <w:num w:numId="4">
    <w:abstractNumId w:val="4"/>
  </w:num>
  <w:num w:numId="5">
    <w:abstractNumId w:val="20"/>
  </w:num>
  <w:num w:numId="6">
    <w:abstractNumId w:val="18"/>
  </w:num>
  <w:num w:numId="7">
    <w:abstractNumId w:val="29"/>
  </w:num>
  <w:num w:numId="8">
    <w:abstractNumId w:val="14"/>
  </w:num>
  <w:num w:numId="9">
    <w:abstractNumId w:val="15"/>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24"/>
  </w:num>
  <w:num w:numId="14">
    <w:abstractNumId w:val="31"/>
  </w:num>
  <w:num w:numId="15">
    <w:abstractNumId w:val="1"/>
  </w:num>
  <w:num w:numId="16">
    <w:abstractNumId w:val="2"/>
  </w:num>
  <w:num w:numId="17">
    <w:abstractNumId w:val="11"/>
  </w:num>
  <w:num w:numId="18">
    <w:abstractNumId w:val="9"/>
  </w:num>
  <w:num w:numId="19">
    <w:abstractNumId w:val="22"/>
  </w:num>
  <w:num w:numId="20">
    <w:abstractNumId w:val="6"/>
  </w:num>
  <w:num w:numId="21">
    <w:abstractNumId w:val="8"/>
  </w:num>
  <w:num w:numId="22">
    <w:abstractNumId w:val="17"/>
  </w:num>
  <w:num w:numId="23">
    <w:abstractNumId w:val="21"/>
  </w:num>
  <w:num w:numId="24">
    <w:abstractNumId w:val="28"/>
  </w:num>
  <w:num w:numId="25">
    <w:abstractNumId w:val="32"/>
  </w:num>
  <w:num w:numId="26">
    <w:abstractNumId w:val="13"/>
  </w:num>
  <w:num w:numId="27">
    <w:abstractNumId w:val="12"/>
  </w:num>
  <w:num w:numId="28">
    <w:abstractNumId w:val="26"/>
  </w:num>
  <w:num w:numId="29">
    <w:abstractNumId w:val="27"/>
  </w:num>
  <w:num w:numId="30">
    <w:abstractNumId w:val="10"/>
  </w:num>
  <w:num w:numId="31">
    <w:abstractNumId w:val="19"/>
  </w:num>
  <w:num w:numId="32">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5D6F"/>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379A6"/>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150E"/>
    <w:rsid w:val="00587C0E"/>
    <w:rsid w:val="00592E29"/>
    <w:rsid w:val="00594CF9"/>
    <w:rsid w:val="005965DB"/>
    <w:rsid w:val="005A50AE"/>
    <w:rsid w:val="005A6DF8"/>
    <w:rsid w:val="005A7B62"/>
    <w:rsid w:val="005C080E"/>
    <w:rsid w:val="005C2262"/>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07D07"/>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uiPriority w:val="34"/>
    <w:rsid w:val="00A07D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6EF005-0D09-4C62-90A7-FB9DEE26E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2965</Words>
  <Characters>16452</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2017-01-20T15:24:00Z</cp:lastPrinted>
  <dcterms:created xsi:type="dcterms:W3CDTF">2017-01-23T12:25:00Z</dcterms:created>
  <dcterms:modified xsi:type="dcterms:W3CDTF">2017-05-23T13:22:00Z</dcterms:modified>
</cp:coreProperties>
</file>