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767B3F">
        <w:rPr>
          <w:rFonts w:ascii="Arial" w:hAnsi="Arial" w:cs="Arial"/>
          <w:sz w:val="16"/>
          <w:szCs w:val="16"/>
        </w:rPr>
        <w:t>10</w:t>
      </w:r>
      <w:r w:rsidR="00A66F6F">
        <w:rPr>
          <w:rFonts w:ascii="Arial" w:hAnsi="Arial" w:cs="Arial"/>
          <w:sz w:val="16"/>
          <w:szCs w:val="16"/>
        </w:rPr>
        <w:t>3</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A66F6F">
        <w:rPr>
          <w:rFonts w:ascii="Arial" w:hAnsi="Arial" w:cs="Arial"/>
          <w:bCs/>
          <w:sz w:val="16"/>
          <w:szCs w:val="16"/>
        </w:rPr>
        <w:t>030/2017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w:t>
      </w:r>
      <w:r w:rsidR="00A66F6F">
        <w:rPr>
          <w:rFonts w:ascii="Arial" w:hAnsi="Arial" w:cs="Arial"/>
          <w:bCs/>
          <w:sz w:val="16"/>
          <w:szCs w:val="16"/>
        </w:rPr>
        <w:t>901</w:t>
      </w:r>
      <w:r w:rsidR="00A34046">
        <w:rPr>
          <w:rFonts w:ascii="Arial" w:hAnsi="Arial" w:cs="Arial"/>
          <w:bCs/>
          <w:sz w:val="16"/>
          <w:szCs w:val="16"/>
        </w:rPr>
        <w:t>.</w:t>
      </w:r>
      <w:r w:rsidR="00A66F6F">
        <w:rPr>
          <w:rFonts w:ascii="Arial" w:hAnsi="Arial" w:cs="Arial"/>
          <w:bCs/>
          <w:sz w:val="16"/>
          <w:szCs w:val="16"/>
        </w:rPr>
        <w:t>01113</w:t>
      </w:r>
      <w:r w:rsidR="00592472">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A66F6F">
        <w:rPr>
          <w:rFonts w:ascii="Arial" w:hAnsi="Arial" w:cs="Arial"/>
          <w:sz w:val="16"/>
          <w:szCs w:val="16"/>
        </w:rPr>
        <w:t xml:space="preserve">preço para </w:t>
      </w:r>
      <w:r w:rsidR="003C0CA5" w:rsidRPr="00A66F6F">
        <w:rPr>
          <w:rFonts w:ascii="Arial" w:hAnsi="Arial" w:cs="Arial"/>
          <w:bCs/>
          <w:sz w:val="16"/>
          <w:szCs w:val="16"/>
        </w:rPr>
        <w:t xml:space="preserve">futura e eventual </w:t>
      </w:r>
      <w:r w:rsidR="00A66F6F" w:rsidRPr="00A66F6F">
        <w:rPr>
          <w:rFonts w:ascii="Arial" w:hAnsi="Arial" w:cs="Arial"/>
          <w:bCs/>
          <w:sz w:val="16"/>
          <w:szCs w:val="16"/>
        </w:rPr>
        <w:t>contratação de empresa especializada em transporte rodoviário de passageiros – ônibus/micro-ônibus/van</w:t>
      </w:r>
      <w:r w:rsidR="00A66F6F" w:rsidRPr="00A66F6F">
        <w:rPr>
          <w:rFonts w:ascii="Arial" w:hAnsi="Arial" w:cs="Arial"/>
          <w:sz w:val="16"/>
          <w:szCs w:val="16"/>
        </w:rPr>
        <w:t xml:space="preserve">, </w:t>
      </w:r>
      <w:proofErr w:type="gramStart"/>
      <w:r w:rsidR="00A66F6F" w:rsidRPr="00A66F6F">
        <w:rPr>
          <w:rFonts w:ascii="Arial" w:hAnsi="Arial" w:cs="Arial"/>
          <w:sz w:val="16"/>
          <w:szCs w:val="16"/>
        </w:rPr>
        <w:t>à</w:t>
      </w:r>
      <w:proofErr w:type="gramEnd"/>
      <w:r w:rsidR="00A66F6F" w:rsidRPr="00A66F6F">
        <w:rPr>
          <w:rFonts w:ascii="Arial" w:hAnsi="Arial" w:cs="Arial"/>
          <w:sz w:val="16"/>
          <w:szCs w:val="16"/>
        </w:rPr>
        <w:t xml:space="preserve"> pedido da Secretaria de Estado da Agricultura – SEAGRI/RO</w:t>
      </w:r>
      <w:r w:rsidR="003C0CA5" w:rsidRPr="00A66F6F">
        <w:rPr>
          <w:rFonts w:ascii="Arial" w:hAnsi="Arial" w:cs="Arial"/>
          <w:sz w:val="16"/>
          <w:szCs w:val="16"/>
        </w:rPr>
        <w:t xml:space="preserve">, por um período de 12 </w:t>
      </w:r>
      <w:r w:rsidR="00DF042C" w:rsidRPr="00A66F6F">
        <w:rPr>
          <w:rFonts w:ascii="Arial" w:hAnsi="Arial" w:cs="Arial"/>
          <w:sz w:val="16"/>
          <w:szCs w:val="16"/>
        </w:rPr>
        <w:t xml:space="preserve">(doze) meses, </w:t>
      </w:r>
      <w:r w:rsidRPr="00A66F6F">
        <w:rPr>
          <w:rFonts w:ascii="Arial" w:hAnsi="Arial" w:cs="Arial"/>
          <w:sz w:val="16"/>
          <w:szCs w:val="16"/>
        </w:rPr>
        <w:t>conforme Anexo Único desta ata, atendendo as condições previstas no instrumento convocatório e as constantes nesta Ata de Registro de Preços, sujeitando-se as partes</w:t>
      </w:r>
      <w:r w:rsidRPr="001606A8">
        <w:rPr>
          <w:rFonts w:ascii="Arial" w:hAnsi="Arial" w:cs="Arial"/>
          <w:sz w:val="16"/>
          <w:szCs w:val="16"/>
        </w:rPr>
        <w:t xml:space="preserve">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A66F6F" w:rsidRPr="00A66F6F">
        <w:rPr>
          <w:rFonts w:ascii="Arial" w:hAnsi="Arial" w:cs="Arial"/>
          <w:bCs/>
          <w:sz w:val="16"/>
          <w:szCs w:val="16"/>
        </w:rPr>
        <w:t>contratação de empresa especializada em transporte rodoviário de passageiros – ônibus/micro-ônibus/van</w:t>
      </w:r>
      <w:r w:rsidR="00A66F6F" w:rsidRPr="00A66F6F">
        <w:rPr>
          <w:rFonts w:ascii="Arial" w:hAnsi="Arial" w:cs="Arial"/>
          <w:sz w:val="16"/>
          <w:szCs w:val="16"/>
        </w:rPr>
        <w:t xml:space="preserve">, </w:t>
      </w:r>
      <w:proofErr w:type="gramStart"/>
      <w:r w:rsidR="00A66F6F" w:rsidRPr="00A66F6F">
        <w:rPr>
          <w:rFonts w:ascii="Arial" w:hAnsi="Arial" w:cs="Arial"/>
          <w:sz w:val="16"/>
          <w:szCs w:val="16"/>
        </w:rPr>
        <w:t>à</w:t>
      </w:r>
      <w:proofErr w:type="gramEnd"/>
      <w:r w:rsidR="00A66F6F" w:rsidRPr="00A66F6F">
        <w:rPr>
          <w:rFonts w:ascii="Arial" w:hAnsi="Arial" w:cs="Arial"/>
          <w:sz w:val="16"/>
          <w:szCs w:val="16"/>
        </w:rPr>
        <w:t xml:space="preserve"> pedido da Secretaria de Estado da Agricultura – SEAGRI/RO</w:t>
      </w:r>
      <w:r w:rsidR="001606A8">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 xml:space="preserve">2.1.1. A vigência dos contratos decorrentes do Sistema de Registro de Preços será definida nos instrumentos convocatórios, observado o artigo 57 da </w:t>
      </w:r>
      <w:proofErr w:type="gramStart"/>
      <w:r w:rsidRPr="009A54D1">
        <w:rPr>
          <w:rFonts w:ascii="Arial" w:hAnsi="Arial" w:cs="Arial"/>
          <w:sz w:val="16"/>
          <w:szCs w:val="16"/>
        </w:rPr>
        <w:t>Lei</w:t>
      </w:r>
      <w:proofErr w:type="gramEnd"/>
      <w:r w:rsidRPr="009A54D1">
        <w:rPr>
          <w:rFonts w:ascii="Arial" w:hAnsi="Arial" w:cs="Arial"/>
          <w:sz w:val="16"/>
          <w:szCs w:val="16"/>
        </w:rPr>
        <w:t xml:space="preserve">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896A65" w:rsidRPr="00896A65" w:rsidRDefault="00896A65" w:rsidP="00896A65">
      <w:pPr>
        <w:pStyle w:val="PargrafodaLista"/>
        <w:numPr>
          <w:ilvl w:val="0"/>
          <w:numId w:val="1"/>
        </w:numPr>
        <w:spacing w:line="360" w:lineRule="auto"/>
        <w:jc w:val="both"/>
        <w:rPr>
          <w:rFonts w:ascii="Arial" w:hAnsi="Arial" w:cs="Arial"/>
          <w:b/>
          <w:bCs/>
          <w:sz w:val="16"/>
          <w:szCs w:val="16"/>
        </w:rPr>
      </w:pPr>
      <w:r w:rsidRPr="00896A65">
        <w:rPr>
          <w:rFonts w:ascii="Arial" w:hAnsi="Arial" w:cs="Arial"/>
          <w:b/>
          <w:bCs/>
          <w:sz w:val="16"/>
          <w:szCs w:val="16"/>
        </w:rPr>
        <w:t>DO RECEBIME</w:t>
      </w:r>
      <w:r>
        <w:rPr>
          <w:rFonts w:ascii="Arial" w:hAnsi="Arial" w:cs="Arial"/>
          <w:b/>
          <w:bCs/>
          <w:sz w:val="16"/>
          <w:szCs w:val="16"/>
        </w:rPr>
        <w:t>NTO E DA EXECUÇÃO DO SERVIÇO</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Default="00210CC9" w:rsidP="00EF1FC6">
      <w:pPr>
        <w:pStyle w:val="Recuodecorpodetexto3"/>
        <w:spacing w:after="0"/>
        <w:ind w:left="0"/>
        <w:rPr>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73 inciso II, “a” e “b”, da Lei 8.666/93 e alterações.</w:t>
      </w:r>
    </w:p>
    <w:p w:rsidR="00767B3F" w:rsidRPr="00896A65" w:rsidRDefault="004B50C5" w:rsidP="00767B3F">
      <w:pPr>
        <w:jc w:val="both"/>
        <w:rPr>
          <w:rFonts w:ascii="Arial" w:hAnsi="Arial" w:cs="Arial"/>
          <w:bCs/>
          <w:sz w:val="16"/>
          <w:szCs w:val="16"/>
        </w:rPr>
      </w:pPr>
      <w:r w:rsidRPr="00896A65">
        <w:rPr>
          <w:rFonts w:ascii="Arial" w:hAnsi="Arial" w:cs="Arial"/>
          <w:sz w:val="16"/>
          <w:szCs w:val="16"/>
        </w:rPr>
        <w:t>6.3</w:t>
      </w:r>
      <w:r w:rsidR="001643CD" w:rsidRPr="00896A65">
        <w:rPr>
          <w:rFonts w:ascii="Arial" w:hAnsi="Arial" w:cs="Arial"/>
          <w:sz w:val="16"/>
          <w:szCs w:val="16"/>
        </w:rPr>
        <w:t>.</w:t>
      </w:r>
      <w:r w:rsidRPr="00896A65">
        <w:rPr>
          <w:rFonts w:ascii="Arial" w:hAnsi="Arial" w:cs="Arial"/>
          <w:sz w:val="16"/>
          <w:szCs w:val="16"/>
        </w:rPr>
        <w:t xml:space="preserve"> </w:t>
      </w:r>
      <w:r w:rsidR="00A66F6F" w:rsidRPr="00896A65">
        <w:rPr>
          <w:rFonts w:ascii="Arial" w:hAnsi="Arial" w:cs="Arial"/>
          <w:b/>
          <w:sz w:val="16"/>
          <w:szCs w:val="16"/>
        </w:rPr>
        <w:t>DO RECEBIMENTO</w:t>
      </w:r>
      <w:r w:rsidR="00F17DD3" w:rsidRPr="00896A65">
        <w:rPr>
          <w:rFonts w:ascii="Arial" w:hAnsi="Arial" w:cs="Arial"/>
          <w:b/>
          <w:sz w:val="16"/>
          <w:szCs w:val="16"/>
        </w:rPr>
        <w:t>:</w:t>
      </w:r>
      <w:r w:rsidR="00F111D9" w:rsidRPr="00896A65">
        <w:rPr>
          <w:rFonts w:ascii="Arial" w:hAnsi="Arial" w:cs="Arial"/>
          <w:sz w:val="16"/>
          <w:szCs w:val="16"/>
        </w:rPr>
        <w:t xml:space="preserve"> </w:t>
      </w:r>
      <w:r w:rsidR="00A66F6F" w:rsidRPr="00896A65">
        <w:rPr>
          <w:rFonts w:ascii="Arial" w:hAnsi="Arial" w:cs="Arial"/>
          <w:bCs/>
          <w:sz w:val="16"/>
          <w:szCs w:val="16"/>
        </w:rPr>
        <w:t>O recebimento se dará da seguinte forma:</w:t>
      </w:r>
    </w:p>
    <w:p w:rsidR="00A66F6F" w:rsidRPr="00896A65" w:rsidRDefault="00A66F6F" w:rsidP="00767B3F">
      <w:pPr>
        <w:jc w:val="both"/>
        <w:rPr>
          <w:rFonts w:ascii="Arial" w:hAnsi="Arial" w:cs="Arial"/>
          <w:bCs/>
          <w:sz w:val="16"/>
          <w:szCs w:val="16"/>
        </w:rPr>
      </w:pPr>
    </w:p>
    <w:p w:rsidR="00A66F6F" w:rsidRPr="00896A65" w:rsidRDefault="00A66F6F" w:rsidP="00A66F6F">
      <w:pPr>
        <w:numPr>
          <w:ilvl w:val="0"/>
          <w:numId w:val="31"/>
        </w:numPr>
        <w:spacing w:after="120" w:line="360" w:lineRule="auto"/>
        <w:ind w:left="0" w:firstLine="0"/>
        <w:jc w:val="both"/>
        <w:rPr>
          <w:rFonts w:ascii="Arial" w:hAnsi="Arial" w:cs="Arial"/>
          <w:sz w:val="16"/>
          <w:szCs w:val="16"/>
        </w:rPr>
      </w:pPr>
      <w:bookmarkStart w:id="1" w:name="_Toc378931593"/>
      <w:r w:rsidRPr="00896A65">
        <w:rPr>
          <w:rFonts w:ascii="Arial" w:hAnsi="Arial" w:cs="Arial"/>
          <w:b/>
          <w:sz w:val="16"/>
          <w:szCs w:val="16"/>
        </w:rPr>
        <w:t>Provisoriamente:</w:t>
      </w:r>
      <w:r w:rsidRPr="00896A65">
        <w:rPr>
          <w:rFonts w:ascii="Arial" w:hAnsi="Arial" w:cs="Arial"/>
          <w:sz w:val="16"/>
          <w:szCs w:val="16"/>
        </w:rPr>
        <w:t xml:space="preserve"> no ato da entrega, para posterior verificação da conformidade dos serviços realizados, com as especificações deste, mediante emissão de Termo de Recebimento Provisório.</w:t>
      </w:r>
      <w:bookmarkStart w:id="2" w:name="_Toc378931594"/>
      <w:bookmarkEnd w:id="1"/>
    </w:p>
    <w:p w:rsidR="00A66F6F" w:rsidRPr="00896A65" w:rsidRDefault="00A66F6F" w:rsidP="00A66F6F">
      <w:pPr>
        <w:numPr>
          <w:ilvl w:val="0"/>
          <w:numId w:val="31"/>
        </w:numPr>
        <w:spacing w:after="120" w:line="360" w:lineRule="auto"/>
        <w:ind w:left="0" w:firstLine="0"/>
        <w:jc w:val="both"/>
        <w:rPr>
          <w:rFonts w:ascii="Arial" w:hAnsi="Arial" w:cs="Arial"/>
          <w:sz w:val="16"/>
          <w:szCs w:val="16"/>
        </w:rPr>
      </w:pPr>
      <w:r w:rsidRPr="00896A65">
        <w:rPr>
          <w:rFonts w:ascii="Arial" w:hAnsi="Arial" w:cs="Arial"/>
          <w:b/>
          <w:sz w:val="16"/>
          <w:szCs w:val="16"/>
        </w:rPr>
        <w:t>Definitivamente:</w:t>
      </w:r>
      <w:r w:rsidRPr="00896A65">
        <w:rPr>
          <w:rFonts w:ascii="Arial" w:hAnsi="Arial" w:cs="Arial"/>
          <w:sz w:val="16"/>
          <w:szCs w:val="16"/>
        </w:rPr>
        <w:t xml:space="preserve"> no prazo máximo de até 10 (dez) dias úteis, contados a partir da assinatura do Termo de Recebimento Provisório e após a verificação da compatibilidade das especificações dos serviços realizados mediante a emissão de Termo de Recebimento Definitivo assinado pelas partes.</w:t>
      </w:r>
      <w:bookmarkEnd w:id="2"/>
    </w:p>
    <w:p w:rsidR="00767B3F" w:rsidRPr="00896A65" w:rsidRDefault="00F23872" w:rsidP="00896A65">
      <w:pPr>
        <w:autoSpaceDE w:val="0"/>
        <w:autoSpaceDN w:val="0"/>
        <w:adjustRightInd w:val="0"/>
        <w:spacing w:after="120" w:line="360" w:lineRule="auto"/>
        <w:rPr>
          <w:rFonts w:ascii="Arial" w:hAnsi="Arial" w:cs="Arial"/>
          <w:color w:val="FF0000"/>
          <w:sz w:val="16"/>
          <w:szCs w:val="16"/>
        </w:rPr>
      </w:pPr>
      <w:r w:rsidRPr="00896A65">
        <w:rPr>
          <w:rFonts w:ascii="Arial" w:hAnsi="Arial" w:cs="Arial"/>
          <w:sz w:val="16"/>
          <w:szCs w:val="16"/>
        </w:rPr>
        <w:t>6</w:t>
      </w:r>
      <w:r w:rsidR="00F111D9" w:rsidRPr="00896A65">
        <w:rPr>
          <w:rFonts w:ascii="Arial" w:hAnsi="Arial" w:cs="Arial"/>
          <w:sz w:val="16"/>
          <w:szCs w:val="16"/>
        </w:rPr>
        <w:t>.</w:t>
      </w:r>
      <w:r w:rsidR="00DE7179" w:rsidRPr="00896A65">
        <w:rPr>
          <w:rFonts w:ascii="Arial" w:hAnsi="Arial" w:cs="Arial"/>
          <w:sz w:val="16"/>
          <w:szCs w:val="16"/>
        </w:rPr>
        <w:t>4</w:t>
      </w:r>
      <w:r w:rsidR="001643CD" w:rsidRPr="00896A65">
        <w:rPr>
          <w:rFonts w:ascii="Arial" w:hAnsi="Arial" w:cs="Arial"/>
          <w:sz w:val="16"/>
          <w:szCs w:val="16"/>
        </w:rPr>
        <w:t>.</w:t>
      </w:r>
      <w:r w:rsidRPr="00896A65">
        <w:rPr>
          <w:rFonts w:ascii="Arial" w:hAnsi="Arial" w:cs="Arial"/>
          <w:sz w:val="16"/>
          <w:szCs w:val="16"/>
        </w:rPr>
        <w:t xml:space="preserve"> </w:t>
      </w:r>
      <w:r w:rsidR="00071758" w:rsidRPr="00896A65">
        <w:rPr>
          <w:rFonts w:ascii="Arial" w:hAnsi="Arial" w:cs="Arial"/>
          <w:b/>
          <w:sz w:val="16"/>
          <w:szCs w:val="16"/>
        </w:rPr>
        <w:t xml:space="preserve">DA EXECUÇÃO DO SERVIÇO: </w:t>
      </w:r>
      <w:r w:rsidR="00071758" w:rsidRPr="00896A65">
        <w:rPr>
          <w:rFonts w:ascii="Arial" w:hAnsi="Arial" w:cs="Arial"/>
          <w:sz w:val="16"/>
          <w:szCs w:val="16"/>
        </w:rPr>
        <w:t xml:space="preserve">A licitante vencedora deverá iniciar a prestação dos serviços objeto </w:t>
      </w:r>
      <w:r w:rsidR="00896A65" w:rsidRPr="00896A65">
        <w:rPr>
          <w:rFonts w:ascii="Arial" w:hAnsi="Arial" w:cs="Arial"/>
          <w:sz w:val="16"/>
          <w:szCs w:val="16"/>
        </w:rPr>
        <w:t>do</w:t>
      </w:r>
      <w:r w:rsidR="00071758" w:rsidRPr="00896A65">
        <w:rPr>
          <w:rFonts w:ascii="Arial" w:hAnsi="Arial" w:cs="Arial"/>
          <w:sz w:val="16"/>
          <w:szCs w:val="16"/>
        </w:rPr>
        <w:t xml:space="preserve"> Termo de Referência, imediatamente após a assinatura do contrato. A </w:t>
      </w:r>
      <w:r w:rsidR="00071758" w:rsidRPr="00896A65">
        <w:rPr>
          <w:rFonts w:ascii="Arial" w:hAnsi="Arial" w:cs="Arial"/>
          <w:b/>
          <w:bCs/>
          <w:sz w:val="16"/>
          <w:szCs w:val="16"/>
        </w:rPr>
        <w:t xml:space="preserve">CONTRATADA </w:t>
      </w:r>
      <w:r w:rsidR="00071758" w:rsidRPr="00896A65">
        <w:rPr>
          <w:rFonts w:ascii="Arial" w:hAnsi="Arial" w:cs="Arial"/>
          <w:sz w:val="16"/>
          <w:szCs w:val="16"/>
        </w:rPr>
        <w:t>se obriga a prestar o serviço rigorosamente de acordo com a proposta de preços e as normas estipuladas no</w:t>
      </w:r>
      <w:r w:rsidR="00896A65">
        <w:rPr>
          <w:rFonts w:ascii="Arial" w:hAnsi="Arial" w:cs="Arial"/>
          <w:sz w:val="16"/>
          <w:szCs w:val="16"/>
        </w:rPr>
        <w:t xml:space="preserve"> </w:t>
      </w:r>
      <w:r w:rsidR="00896A65">
        <w:rPr>
          <w:rFonts w:ascii="Arial" w:hAnsi="Arial" w:cs="Arial"/>
          <w:sz w:val="16"/>
          <w:szCs w:val="16"/>
        </w:rPr>
        <w:lastRenderedPageBreak/>
        <w:t xml:space="preserve">Item </w:t>
      </w:r>
      <w:proofErr w:type="gramStart"/>
      <w:r w:rsidR="00896A65">
        <w:rPr>
          <w:rFonts w:ascii="Arial" w:hAnsi="Arial" w:cs="Arial"/>
          <w:sz w:val="16"/>
          <w:szCs w:val="16"/>
        </w:rPr>
        <w:t>9</w:t>
      </w:r>
      <w:proofErr w:type="gramEnd"/>
      <w:r w:rsidR="00896A65">
        <w:rPr>
          <w:rFonts w:ascii="Arial" w:hAnsi="Arial" w:cs="Arial"/>
          <w:sz w:val="16"/>
          <w:szCs w:val="16"/>
        </w:rPr>
        <w:t xml:space="preserve"> do</w:t>
      </w:r>
      <w:r w:rsidR="00071758" w:rsidRPr="00896A65">
        <w:rPr>
          <w:rFonts w:ascii="Arial" w:hAnsi="Arial" w:cs="Arial"/>
          <w:sz w:val="16"/>
          <w:szCs w:val="16"/>
        </w:rPr>
        <w:t xml:space="preserve"> Termo de Referência.</w:t>
      </w:r>
      <w:r w:rsidR="00896A65">
        <w:rPr>
          <w:rFonts w:ascii="Arial" w:hAnsi="Arial" w:cs="Arial"/>
          <w:sz w:val="16"/>
          <w:szCs w:val="16"/>
        </w:rPr>
        <w:t xml:space="preserve"> </w:t>
      </w:r>
      <w:r w:rsidR="00071758" w:rsidRPr="00896A65">
        <w:rPr>
          <w:rFonts w:ascii="Arial" w:hAnsi="Arial" w:cs="Arial"/>
          <w:sz w:val="16"/>
          <w:szCs w:val="16"/>
        </w:rPr>
        <w:t xml:space="preserve">Fica estabelecido que a </w:t>
      </w:r>
      <w:r w:rsidR="00071758" w:rsidRPr="00896A65">
        <w:rPr>
          <w:rFonts w:ascii="Arial" w:hAnsi="Arial" w:cs="Arial"/>
          <w:b/>
          <w:bCs/>
          <w:sz w:val="16"/>
          <w:szCs w:val="16"/>
        </w:rPr>
        <w:t xml:space="preserve">CONTRATADA </w:t>
      </w:r>
      <w:r w:rsidR="00071758" w:rsidRPr="00896A65">
        <w:rPr>
          <w:rFonts w:ascii="Arial" w:hAnsi="Arial" w:cs="Arial"/>
          <w:sz w:val="16"/>
          <w:szCs w:val="16"/>
        </w:rPr>
        <w:t>tenha como ponto de partida para contabilizar o KM (quilômetro) rodado, o endereço será conforme ordem de serviço emitida pela Secretaria de Estado e Agricultura, no local, data e hora indicado.</w:t>
      </w:r>
    </w:p>
    <w:p w:rsidR="00767B3F" w:rsidRPr="00767B3F" w:rsidRDefault="00767B3F" w:rsidP="00767B3F">
      <w:pPr>
        <w:jc w:val="both"/>
        <w:rPr>
          <w:rFonts w:ascii="Arial" w:hAnsi="Arial" w:cs="Arial"/>
          <w:bCs/>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A66F6F" w:rsidRDefault="009D2314" w:rsidP="009D2314">
      <w:pPr>
        <w:jc w:val="both"/>
        <w:rPr>
          <w:rFonts w:ascii="Arial" w:hAnsi="Arial" w:cs="Arial"/>
          <w:sz w:val="16"/>
          <w:szCs w:val="16"/>
        </w:rPr>
      </w:pPr>
    </w:p>
    <w:p w:rsidR="009D2314" w:rsidRPr="00A66F6F" w:rsidRDefault="009D2314" w:rsidP="00160FBE">
      <w:pPr>
        <w:numPr>
          <w:ilvl w:val="1"/>
          <w:numId w:val="3"/>
        </w:numPr>
        <w:jc w:val="both"/>
        <w:rPr>
          <w:rFonts w:ascii="Arial" w:hAnsi="Arial" w:cs="Arial"/>
          <w:sz w:val="16"/>
          <w:szCs w:val="16"/>
        </w:rPr>
      </w:pPr>
      <w:r w:rsidRPr="00A66F6F">
        <w:rPr>
          <w:rFonts w:ascii="Arial" w:hAnsi="Arial" w:cs="Arial"/>
          <w:sz w:val="16"/>
          <w:szCs w:val="16"/>
        </w:rPr>
        <w:t>O Estado de Rondônia, através dos órgãos requisitantes, providenciará o pagamento no prazo de até 30</w:t>
      </w:r>
      <w:r w:rsidRPr="00A66F6F">
        <w:rPr>
          <w:rFonts w:ascii="Arial" w:hAnsi="Arial" w:cs="Arial"/>
          <w:b/>
          <w:bCs/>
          <w:sz w:val="16"/>
          <w:szCs w:val="16"/>
        </w:rPr>
        <w:t xml:space="preserve"> (trinta) dias corridos</w:t>
      </w:r>
      <w:r w:rsidRPr="00A66F6F">
        <w:rPr>
          <w:rFonts w:ascii="Arial" w:hAnsi="Arial" w:cs="Arial"/>
          <w:sz w:val="16"/>
          <w:szCs w:val="16"/>
        </w:rPr>
        <w:t>, contada da data do aceite da nota fiscal.</w:t>
      </w:r>
    </w:p>
    <w:p w:rsidR="00EF1FC6" w:rsidRPr="00A66F6F" w:rsidRDefault="00EF1FC6" w:rsidP="009D2314">
      <w:pPr>
        <w:pStyle w:val="Corpodetexto2"/>
        <w:ind w:right="-1" w:firstLine="0"/>
        <w:rPr>
          <w:sz w:val="16"/>
          <w:szCs w:val="16"/>
        </w:rPr>
      </w:pPr>
    </w:p>
    <w:p w:rsidR="009D2314" w:rsidRPr="00A66F6F" w:rsidRDefault="009D2314" w:rsidP="009D2314">
      <w:pPr>
        <w:pStyle w:val="NormalWeb"/>
        <w:spacing w:before="0" w:beforeAutospacing="0" w:after="0" w:afterAutospacing="0"/>
        <w:jc w:val="both"/>
        <w:rPr>
          <w:rFonts w:ascii="Arial" w:hAnsi="Arial" w:cs="Arial"/>
          <w:b/>
          <w:bCs/>
          <w:sz w:val="16"/>
          <w:szCs w:val="16"/>
        </w:rPr>
      </w:pPr>
      <w:r w:rsidRPr="00A66F6F">
        <w:rPr>
          <w:rFonts w:ascii="Arial" w:hAnsi="Arial" w:cs="Arial"/>
          <w:b/>
          <w:bCs/>
          <w:sz w:val="16"/>
          <w:szCs w:val="16"/>
        </w:rPr>
        <w:t>8.  DA DOTAÇÃO ORÇAMENTÁRIA</w:t>
      </w:r>
      <w:r w:rsidR="00EF1FC6" w:rsidRPr="00A66F6F">
        <w:rPr>
          <w:rFonts w:ascii="Arial" w:hAnsi="Arial" w:cs="Arial"/>
          <w:b/>
          <w:bCs/>
          <w:sz w:val="16"/>
          <w:szCs w:val="16"/>
        </w:rPr>
        <w:t>:</w:t>
      </w:r>
    </w:p>
    <w:p w:rsidR="009D2314" w:rsidRPr="00A66F6F" w:rsidRDefault="009D2314" w:rsidP="009D2314">
      <w:pPr>
        <w:pStyle w:val="NormalWeb"/>
        <w:spacing w:before="0" w:beforeAutospacing="0" w:after="0" w:afterAutospacing="0"/>
        <w:jc w:val="both"/>
        <w:rPr>
          <w:rFonts w:ascii="Arial" w:hAnsi="Arial" w:cs="Arial"/>
          <w:b/>
          <w:bCs/>
          <w:sz w:val="16"/>
          <w:szCs w:val="16"/>
        </w:rPr>
      </w:pPr>
    </w:p>
    <w:p w:rsidR="009D2314" w:rsidRPr="00A66F6F" w:rsidRDefault="009D2314" w:rsidP="00160FBE">
      <w:pPr>
        <w:pStyle w:val="NormalWeb"/>
        <w:numPr>
          <w:ilvl w:val="1"/>
          <w:numId w:val="4"/>
        </w:numPr>
        <w:spacing w:before="0" w:beforeAutospacing="0" w:after="0" w:afterAutospacing="0"/>
        <w:jc w:val="both"/>
        <w:rPr>
          <w:rFonts w:ascii="Arial" w:hAnsi="Arial" w:cs="Arial"/>
          <w:sz w:val="16"/>
          <w:szCs w:val="16"/>
        </w:rPr>
      </w:pPr>
      <w:r w:rsidRPr="00A66F6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41829" w:rsidRPr="00A66F6F" w:rsidRDefault="00041829" w:rsidP="008E4E8A">
      <w:pPr>
        <w:pStyle w:val="NormalWeb"/>
        <w:spacing w:before="0" w:beforeAutospacing="0" w:after="0" w:afterAutospacing="0"/>
        <w:ind w:left="360"/>
        <w:jc w:val="both"/>
        <w:rPr>
          <w:rFonts w:ascii="Arial" w:hAnsi="Arial" w:cs="Arial"/>
          <w:sz w:val="16"/>
          <w:szCs w:val="16"/>
        </w:rPr>
      </w:pPr>
    </w:p>
    <w:p w:rsidR="00EA06CB" w:rsidRPr="00A66F6F" w:rsidRDefault="009D2314" w:rsidP="00EA06CB">
      <w:pPr>
        <w:pStyle w:val="Lista2"/>
        <w:numPr>
          <w:ilvl w:val="0"/>
          <w:numId w:val="4"/>
        </w:numPr>
        <w:jc w:val="both"/>
        <w:rPr>
          <w:b/>
          <w:bCs/>
          <w:sz w:val="16"/>
          <w:szCs w:val="16"/>
        </w:rPr>
      </w:pPr>
      <w:r w:rsidRPr="00A66F6F">
        <w:rPr>
          <w:b/>
          <w:bCs/>
          <w:sz w:val="16"/>
          <w:szCs w:val="16"/>
        </w:rPr>
        <w:t>DAS SANÇÕES NO CASO DE INADIMPLÊNCIA E DO CANCELAMENTO DO REGISTRO DE PREÇOS</w:t>
      </w:r>
    </w:p>
    <w:p w:rsidR="00A66F6F" w:rsidRDefault="00A66F6F" w:rsidP="00A66F6F">
      <w:pPr>
        <w:pStyle w:val="PargrafodaLista"/>
        <w:tabs>
          <w:tab w:val="left" w:pos="284"/>
        </w:tabs>
        <w:spacing w:after="120" w:line="360" w:lineRule="auto"/>
        <w:ind w:left="0"/>
        <w:rPr>
          <w:rFonts w:ascii="Arial" w:hAnsi="Arial" w:cs="Arial"/>
          <w:b/>
          <w:bCs/>
          <w:sz w:val="16"/>
          <w:szCs w:val="16"/>
        </w:rPr>
      </w:pPr>
    </w:p>
    <w:p w:rsidR="00A66F6F" w:rsidRPr="00A66F6F" w:rsidRDefault="00A66F6F" w:rsidP="00A66F6F">
      <w:pPr>
        <w:pStyle w:val="PargrafodaLista"/>
        <w:numPr>
          <w:ilvl w:val="1"/>
          <w:numId w:val="4"/>
        </w:numPr>
        <w:tabs>
          <w:tab w:val="left" w:pos="284"/>
        </w:tabs>
        <w:spacing w:after="120" w:line="360" w:lineRule="auto"/>
        <w:rPr>
          <w:rFonts w:ascii="Arial" w:hAnsi="Arial" w:cs="Arial"/>
          <w:sz w:val="16"/>
          <w:szCs w:val="16"/>
        </w:rPr>
      </w:pPr>
      <w:r w:rsidRPr="00A66F6F">
        <w:rPr>
          <w:rFonts w:ascii="Arial" w:hAnsi="Arial" w:cs="Arial"/>
          <w:sz w:val="16"/>
          <w:szCs w:val="16"/>
        </w:rPr>
        <w:t>Sem prejuízo das sanções cominadas no artigo 87, I, III e IV da Lei nº8666/93, pela inexecução total ou parcial do contrato, a Administração poderá garantida a prévia e ampla defesa, aplicar à Contratada multa de até 10% (dez por cento) sobre o valor do instrumento contratual se:</w:t>
      </w:r>
    </w:p>
    <w:p w:rsidR="00A66F6F" w:rsidRP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 xml:space="preserve">A </w:t>
      </w:r>
      <w:proofErr w:type="spellStart"/>
      <w:r w:rsidRPr="00A66F6F">
        <w:rPr>
          <w:rFonts w:ascii="Arial" w:hAnsi="Arial" w:cs="Arial"/>
          <w:sz w:val="16"/>
          <w:szCs w:val="16"/>
        </w:rPr>
        <w:t>adjucatária</w:t>
      </w:r>
      <w:proofErr w:type="spellEnd"/>
      <w:r w:rsidRPr="00A66F6F">
        <w:rPr>
          <w:rFonts w:ascii="Arial" w:hAnsi="Arial" w:cs="Arial"/>
          <w:sz w:val="16"/>
          <w:szCs w:val="16"/>
        </w:rPr>
        <w:t xml:space="preserve"> recusar-se a retirar o instrumento contratual injustificadamente ou se não apresentar situação regular na ocasião dos recebimentos, garantida a prévia e ampla defesa, aplicar a Contratada multa de até 10% (dez por cento) sobre o valor adjudicado;</w:t>
      </w:r>
    </w:p>
    <w:p w:rsidR="00A66F6F" w:rsidRP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w:t>
      </w:r>
      <w:proofErr w:type="gramStart"/>
      <w:r w:rsidRPr="00A66F6F">
        <w:rPr>
          <w:rFonts w:ascii="Arial" w:hAnsi="Arial" w:cs="Arial"/>
          <w:sz w:val="16"/>
          <w:szCs w:val="16"/>
        </w:rPr>
        <w:t>descredenciado no Cadastro de Fornecedores Estadual</w:t>
      </w:r>
      <w:proofErr w:type="gramEnd"/>
      <w:r w:rsidRPr="00A66F6F">
        <w:rPr>
          <w:rFonts w:ascii="Arial" w:hAnsi="Arial" w:cs="Arial"/>
          <w:sz w:val="16"/>
          <w:szCs w:val="16"/>
        </w:rPr>
        <w:t xml:space="preserve">, pelo prazo de até </w:t>
      </w:r>
      <w:r w:rsidRPr="00A66F6F">
        <w:rPr>
          <w:rFonts w:ascii="Arial" w:hAnsi="Arial" w:cs="Arial"/>
          <w:b/>
          <w:sz w:val="16"/>
          <w:szCs w:val="16"/>
        </w:rPr>
        <w:t>02 (dois) anos</w:t>
      </w:r>
      <w:r w:rsidRPr="00A66F6F">
        <w:rPr>
          <w:rFonts w:ascii="Arial" w:hAnsi="Arial" w:cs="Arial"/>
          <w:sz w:val="16"/>
          <w:szCs w:val="16"/>
        </w:rPr>
        <w:t>, sem prejuízo das multas previstas no Edital e demais cominações legais, devendo ser incluída a penalidade no SICAFI e no CAGEFOR (cadastro Estadual de Fornecedores Impedidos de Licitar);</w:t>
      </w:r>
    </w:p>
    <w:p w:rsid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 xml:space="preserve">A multa, eventualmente imposta à Contratada, será automaticamente descontada da fatura a que fizer jus, </w:t>
      </w:r>
      <w:proofErr w:type="gramStart"/>
      <w:r w:rsidRPr="00A66F6F">
        <w:rPr>
          <w:rFonts w:ascii="Arial" w:hAnsi="Arial" w:cs="Arial"/>
          <w:sz w:val="16"/>
          <w:szCs w:val="16"/>
        </w:rPr>
        <w:t>acrescida de juros moratório de 1% (um por cento) ao mês</w:t>
      </w:r>
      <w:proofErr w:type="gramEnd"/>
      <w:r w:rsidRPr="00A66F6F">
        <w:rPr>
          <w:rFonts w:ascii="Arial" w:hAnsi="Arial" w:cs="Arial"/>
          <w:sz w:val="16"/>
          <w:szCs w:val="16"/>
        </w:rPr>
        <w:t xml:space="preserve">. Caso a contratada não tenha nenhum valor a receber do Estado, ser-lhe-á concedido prazo de </w:t>
      </w:r>
      <w:proofErr w:type="gramStart"/>
      <w:r w:rsidRPr="00A66F6F">
        <w:rPr>
          <w:rFonts w:ascii="Arial" w:hAnsi="Arial" w:cs="Arial"/>
          <w:sz w:val="16"/>
          <w:szCs w:val="16"/>
        </w:rPr>
        <w:t>5</w:t>
      </w:r>
      <w:proofErr w:type="gramEnd"/>
      <w:r w:rsidRPr="00A66F6F">
        <w:rPr>
          <w:rFonts w:ascii="Arial" w:hAnsi="Arial" w:cs="Arial"/>
          <w:sz w:val="16"/>
          <w:szCs w:val="16"/>
        </w:rPr>
        <w:t xml:space="preserve">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w:t>
      </w:r>
      <w:proofErr w:type="gramStart"/>
      <w:r w:rsidRPr="00A66F6F">
        <w:rPr>
          <w:rFonts w:ascii="Arial" w:hAnsi="Arial" w:cs="Arial"/>
          <w:sz w:val="16"/>
          <w:szCs w:val="16"/>
        </w:rPr>
        <w:t>a</w:t>
      </w:r>
      <w:proofErr w:type="gramEnd"/>
      <w:r w:rsidRPr="00A66F6F">
        <w:rPr>
          <w:rFonts w:ascii="Arial" w:hAnsi="Arial" w:cs="Arial"/>
          <w:sz w:val="16"/>
          <w:szCs w:val="16"/>
        </w:rPr>
        <w:t xml:space="preserve"> cobrança judicial;</w:t>
      </w:r>
    </w:p>
    <w:p w:rsid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As multas previstas nessa seção não eximem a adjudicatária ou contratada da reparação dos eventuais danos, perdas ou prejuízos que seu ato punível venha a causar à Administração;</w:t>
      </w:r>
    </w:p>
    <w:p w:rsid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66F6F" w:rsidRP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 xml:space="preserve">São exemplo de infração administrativa penalizáveis, nos ermos da Lei n.º 8.666/93, da Lei nº 10.520/02, do Decreto nº 3.555/00 e do Decreto </w:t>
      </w:r>
      <w:proofErr w:type="gramStart"/>
      <w:r w:rsidRPr="00A66F6F">
        <w:rPr>
          <w:rFonts w:ascii="Arial" w:hAnsi="Arial" w:cs="Arial"/>
          <w:sz w:val="16"/>
          <w:szCs w:val="16"/>
        </w:rPr>
        <w:t>nº</w:t>
      </w:r>
      <w:proofErr w:type="gramEnd"/>
      <w:r w:rsidRPr="00A66F6F">
        <w:rPr>
          <w:rFonts w:ascii="Arial" w:hAnsi="Arial" w:cs="Arial"/>
          <w:sz w:val="16"/>
          <w:szCs w:val="16"/>
        </w:rPr>
        <w:t xml:space="preserve"> 5.540/05:</w:t>
      </w:r>
    </w:p>
    <w:p w:rsidR="00A66F6F" w:rsidRPr="00A66F6F" w:rsidRDefault="00A66F6F" w:rsidP="00A66F6F">
      <w:pPr>
        <w:pStyle w:val="PargrafodaLista"/>
        <w:numPr>
          <w:ilvl w:val="0"/>
          <w:numId w:val="33"/>
        </w:numPr>
        <w:tabs>
          <w:tab w:val="left" w:pos="284"/>
        </w:tabs>
        <w:spacing w:line="360" w:lineRule="auto"/>
        <w:ind w:left="0" w:firstLine="0"/>
        <w:contextualSpacing w:val="0"/>
        <w:jc w:val="both"/>
        <w:rPr>
          <w:rFonts w:ascii="Arial" w:hAnsi="Arial" w:cs="Arial"/>
          <w:sz w:val="16"/>
          <w:szCs w:val="16"/>
        </w:rPr>
      </w:pPr>
      <w:r w:rsidRPr="00A66F6F">
        <w:rPr>
          <w:rFonts w:ascii="Arial" w:hAnsi="Arial" w:cs="Arial"/>
          <w:sz w:val="16"/>
          <w:szCs w:val="16"/>
        </w:rPr>
        <w:t>Inexecução total ou parcial do contrato;</w:t>
      </w:r>
    </w:p>
    <w:p w:rsidR="00A66F6F" w:rsidRPr="00A66F6F" w:rsidRDefault="00A66F6F" w:rsidP="00A66F6F">
      <w:pPr>
        <w:pStyle w:val="PargrafodaLista"/>
        <w:numPr>
          <w:ilvl w:val="0"/>
          <w:numId w:val="33"/>
        </w:numPr>
        <w:tabs>
          <w:tab w:val="left" w:pos="284"/>
        </w:tabs>
        <w:spacing w:line="360" w:lineRule="auto"/>
        <w:ind w:left="0" w:firstLine="0"/>
        <w:contextualSpacing w:val="0"/>
        <w:jc w:val="both"/>
        <w:rPr>
          <w:rFonts w:ascii="Arial" w:hAnsi="Arial" w:cs="Arial"/>
          <w:sz w:val="16"/>
          <w:szCs w:val="16"/>
        </w:rPr>
      </w:pPr>
      <w:r w:rsidRPr="00A66F6F">
        <w:rPr>
          <w:rFonts w:ascii="Arial" w:hAnsi="Arial" w:cs="Arial"/>
          <w:sz w:val="16"/>
          <w:szCs w:val="16"/>
        </w:rPr>
        <w:t>Apresentação de documentação falsa;</w:t>
      </w:r>
    </w:p>
    <w:p w:rsidR="00A66F6F" w:rsidRPr="00A66F6F" w:rsidRDefault="00A66F6F" w:rsidP="00A66F6F">
      <w:pPr>
        <w:pStyle w:val="PargrafodaLista"/>
        <w:numPr>
          <w:ilvl w:val="0"/>
          <w:numId w:val="33"/>
        </w:numPr>
        <w:tabs>
          <w:tab w:val="left" w:pos="284"/>
        </w:tabs>
        <w:spacing w:line="360" w:lineRule="auto"/>
        <w:ind w:left="0" w:firstLine="0"/>
        <w:contextualSpacing w:val="0"/>
        <w:jc w:val="both"/>
        <w:rPr>
          <w:rFonts w:ascii="Arial" w:hAnsi="Arial" w:cs="Arial"/>
          <w:sz w:val="16"/>
          <w:szCs w:val="16"/>
        </w:rPr>
      </w:pPr>
      <w:r w:rsidRPr="00A66F6F">
        <w:rPr>
          <w:rFonts w:ascii="Arial" w:hAnsi="Arial" w:cs="Arial"/>
          <w:sz w:val="16"/>
          <w:szCs w:val="16"/>
        </w:rPr>
        <w:t>Comportamento inidôneo;</w:t>
      </w:r>
    </w:p>
    <w:p w:rsidR="00A66F6F" w:rsidRPr="00A66F6F" w:rsidRDefault="00A66F6F" w:rsidP="00A66F6F">
      <w:pPr>
        <w:pStyle w:val="PargrafodaLista"/>
        <w:numPr>
          <w:ilvl w:val="0"/>
          <w:numId w:val="33"/>
        </w:numPr>
        <w:tabs>
          <w:tab w:val="left" w:pos="284"/>
        </w:tabs>
        <w:spacing w:line="360" w:lineRule="auto"/>
        <w:ind w:left="0" w:firstLine="0"/>
        <w:contextualSpacing w:val="0"/>
        <w:jc w:val="both"/>
        <w:rPr>
          <w:rFonts w:ascii="Arial" w:hAnsi="Arial" w:cs="Arial"/>
          <w:sz w:val="16"/>
          <w:szCs w:val="16"/>
        </w:rPr>
      </w:pPr>
      <w:r w:rsidRPr="00A66F6F">
        <w:rPr>
          <w:rFonts w:ascii="Arial" w:hAnsi="Arial" w:cs="Arial"/>
          <w:sz w:val="16"/>
          <w:szCs w:val="16"/>
        </w:rPr>
        <w:t>Fraude fiscal;</w:t>
      </w:r>
    </w:p>
    <w:p w:rsidR="00A66F6F" w:rsidRPr="00A66F6F" w:rsidRDefault="00A66F6F" w:rsidP="00A66F6F">
      <w:pPr>
        <w:pStyle w:val="PargrafodaLista"/>
        <w:numPr>
          <w:ilvl w:val="0"/>
          <w:numId w:val="33"/>
        </w:numPr>
        <w:tabs>
          <w:tab w:val="left" w:pos="284"/>
        </w:tabs>
        <w:spacing w:after="120" w:line="360" w:lineRule="auto"/>
        <w:ind w:left="0" w:firstLine="0"/>
        <w:contextualSpacing w:val="0"/>
        <w:jc w:val="both"/>
        <w:rPr>
          <w:rFonts w:ascii="Arial" w:hAnsi="Arial" w:cs="Arial"/>
          <w:sz w:val="16"/>
          <w:szCs w:val="16"/>
        </w:rPr>
      </w:pPr>
      <w:r w:rsidRPr="00A66F6F">
        <w:rPr>
          <w:rFonts w:ascii="Arial" w:hAnsi="Arial" w:cs="Arial"/>
          <w:sz w:val="16"/>
          <w:szCs w:val="16"/>
        </w:rPr>
        <w:t>Descumprimento de qualquer dos deveres elencados no edital ou no contrato;</w:t>
      </w:r>
    </w:p>
    <w:p w:rsid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A66F6F" w:rsidRPr="00A66F6F" w:rsidRDefault="00A66F6F" w:rsidP="00A66F6F">
      <w:pPr>
        <w:pStyle w:val="PargrafodaLista"/>
        <w:widowControl w:val="0"/>
        <w:numPr>
          <w:ilvl w:val="1"/>
          <w:numId w:val="4"/>
        </w:numPr>
        <w:autoSpaceDE w:val="0"/>
        <w:autoSpaceDN w:val="0"/>
        <w:adjustRightInd w:val="0"/>
        <w:spacing w:after="120" w:line="360" w:lineRule="auto"/>
        <w:contextualSpacing w:val="0"/>
        <w:jc w:val="both"/>
        <w:rPr>
          <w:rFonts w:ascii="Arial" w:hAnsi="Arial" w:cs="Arial"/>
          <w:sz w:val="16"/>
          <w:szCs w:val="16"/>
        </w:rPr>
      </w:pPr>
      <w:r w:rsidRPr="00A66F6F">
        <w:rPr>
          <w:rFonts w:ascii="Arial" w:hAnsi="Arial" w:cs="Arial"/>
          <w:sz w:val="16"/>
          <w:szCs w:val="16"/>
        </w:rPr>
        <w:t>Para efeito de aplicação de multas, às infrações são atribuídas graus, com percentuais de multas conforme a tabela a seguir, que elenca apenas as principais situações previstas, não eximindo de outras equivalentes que surgirem, conforme o caso: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237"/>
        <w:gridCol w:w="851"/>
        <w:gridCol w:w="1559"/>
      </w:tblGrid>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lastRenderedPageBreak/>
              <w:t>ITEM</w:t>
            </w:r>
          </w:p>
        </w:tc>
        <w:tc>
          <w:tcPr>
            <w:tcW w:w="6237"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DESCRIÇÃO DA INFRAÇÃO</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GRAU</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MULTA*</w:t>
            </w:r>
          </w:p>
        </w:tc>
      </w:tr>
      <w:tr w:rsidR="00A66F6F" w:rsidRPr="00A66F6F" w:rsidTr="00A66F6F">
        <w:tc>
          <w:tcPr>
            <w:tcW w:w="709" w:type="dxa"/>
            <w:shd w:val="clear" w:color="auto" w:fill="auto"/>
            <w:vAlign w:val="center"/>
          </w:tcPr>
          <w:p w:rsidR="00A66F6F" w:rsidRPr="00A66F6F" w:rsidRDefault="00A66F6F" w:rsidP="00A66F6F">
            <w:pPr>
              <w:jc w:val="center"/>
              <w:rPr>
                <w:rFonts w:ascii="Arial" w:hAnsi="Arial" w:cs="Arial"/>
                <w:sz w:val="16"/>
                <w:szCs w:val="16"/>
              </w:rPr>
            </w:pPr>
            <w:proofErr w:type="gramStart"/>
            <w:r w:rsidRPr="00A66F6F">
              <w:rPr>
                <w:rFonts w:ascii="Arial" w:hAnsi="Arial" w:cs="Arial"/>
                <w:sz w:val="16"/>
                <w:szCs w:val="16"/>
              </w:rPr>
              <w:t>1</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Permitir situação que crie a possibilidade ou cause dano físico, lesão corporal ou consequências letais, por ocorrência.</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06</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4,0 %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2</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Usar indevidamente informações sigilosas a que teve acesso, por ocorrência.</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06</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4,0 %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3</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Suspender ou interromper, salvo por motivo de força maior ou caso fortuito, os serviços contratuais por dia e por unidade de atendimento.</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05</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3,2%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4</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Destruir ou danificar documentos por dolo de seus agentes, por ocorrência.</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05</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3,2%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5</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Recusar-se a executar o serviço determinado pela FISCALIZAÇÃO sem motivo justificado, por ocorrência.</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1,6%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6</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Executar serviço incompleto, paliativo substitutivo como por caráter permanente, ou deixar de providenciar recomposição complementar, por ocorrência.</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7</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Fornecer informação pérfida de serviço ou substituição de Cartão/equipamento/software, por ocorrência.</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8</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Manter credenciamento ou descredenciamento de estabelecimento sem a anuência prévia do gestor do contrato, por ocorrência.</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01</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9</w:t>
            </w:r>
            <w:proofErr w:type="gramEnd"/>
          </w:p>
        </w:tc>
        <w:tc>
          <w:tcPr>
            <w:tcW w:w="6237"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851"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01</w:t>
            </w:r>
          </w:p>
        </w:tc>
        <w:tc>
          <w:tcPr>
            <w:tcW w:w="155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 por dia</w:t>
            </w:r>
          </w:p>
        </w:tc>
      </w:tr>
    </w:tbl>
    <w:p w:rsidR="00A66F6F" w:rsidRPr="00A66F6F" w:rsidRDefault="00A66F6F" w:rsidP="00A66F6F">
      <w:pPr>
        <w:pStyle w:val="PargrafodaLista"/>
        <w:tabs>
          <w:tab w:val="left" w:pos="284"/>
        </w:tabs>
        <w:ind w:left="0"/>
        <w:rPr>
          <w:rFonts w:ascii="Arial" w:hAnsi="Arial" w:cs="Arial"/>
          <w:sz w:val="16"/>
          <w:szCs w:val="16"/>
        </w:rPr>
      </w:pPr>
      <w:r w:rsidRPr="00A66F6F">
        <w:rPr>
          <w:rFonts w:ascii="Arial" w:hAnsi="Arial" w:cs="Arial"/>
          <w:sz w:val="16"/>
          <w:szCs w:val="16"/>
        </w:rPr>
        <w:t>*Incidente sobre o valor mensal do contrato</w:t>
      </w:r>
    </w:p>
    <w:p w:rsidR="00A66F6F" w:rsidRPr="00A66F6F" w:rsidRDefault="00A66F6F" w:rsidP="00A66F6F">
      <w:pPr>
        <w:rPr>
          <w:rFonts w:ascii="Arial" w:hAnsi="Arial" w:cs="Arial"/>
          <w:sz w:val="16"/>
          <w:szCs w:val="16"/>
        </w:rPr>
      </w:pPr>
    </w:p>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Para os itens a seguir deixar de:</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205"/>
        <w:gridCol w:w="823"/>
        <w:gridCol w:w="1619"/>
      </w:tblGrid>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ITEM</w:t>
            </w:r>
          </w:p>
        </w:tc>
        <w:tc>
          <w:tcPr>
            <w:tcW w:w="6205" w:type="dxa"/>
            <w:shd w:val="clear" w:color="auto" w:fill="auto"/>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DESCRIÇÃO DA INFRAÇÃO</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GRAU</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MULTA*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1</w:t>
            </w:r>
            <w:proofErr w:type="gramEnd"/>
          </w:p>
        </w:tc>
        <w:tc>
          <w:tcPr>
            <w:tcW w:w="6205" w:type="dxa"/>
            <w:shd w:val="clear" w:color="auto" w:fill="auto"/>
            <w:vAlign w:val="center"/>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Cumprir prazo previamente estabelecido para execução de serviços, por dia;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2</w:t>
            </w:r>
            <w:proofErr w:type="gramEnd"/>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Efetuar o pagamento de seguros, encargos, fiscais e sociais, assim como quaisquer despesas diretas e/ou indiretas relacionadas à execução do contrato, por dia e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05</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3,2%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3</w:t>
            </w:r>
            <w:proofErr w:type="gramEnd"/>
          </w:p>
        </w:tc>
        <w:tc>
          <w:tcPr>
            <w:tcW w:w="6205" w:type="dxa"/>
            <w:shd w:val="clear" w:color="auto" w:fill="auto"/>
          </w:tcPr>
          <w:p w:rsidR="00A66F6F" w:rsidRPr="00A66F6F" w:rsidRDefault="00A66F6F" w:rsidP="00A66F6F">
            <w:pPr>
              <w:rPr>
                <w:rFonts w:ascii="Arial" w:hAnsi="Arial" w:cs="Arial"/>
                <w:sz w:val="16"/>
                <w:szCs w:val="16"/>
              </w:rPr>
            </w:pPr>
            <w:r w:rsidRPr="00A66F6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03</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0,8%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4</w:t>
            </w:r>
            <w:proofErr w:type="gramEnd"/>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Cumprir determinação formal ou instrução complementar da fiscalização,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03</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0,8%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5</w:t>
            </w:r>
            <w:proofErr w:type="gramEnd"/>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Iniciar os serviços nos prazos estabelecidos, observados os limites mínimos estabelecidos por este Termo de Referência, por serviço,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6</w:t>
            </w:r>
            <w:proofErr w:type="gramEnd"/>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Disponibilizar os equipamentos, sistema, estabelecimentos credenciados, em número mínimo, treinamento, suporte e demais necessários à realização dos serviços do escopo do contrato,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7</w:t>
            </w:r>
            <w:proofErr w:type="gramEnd"/>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 xml:space="preserve">Disponibilizar equipe de profissionais completa conforme determinado para execução do serviço, por </w:t>
            </w:r>
            <w:proofErr w:type="gramStart"/>
            <w:r w:rsidRPr="00A66F6F">
              <w:rPr>
                <w:rFonts w:ascii="Arial" w:hAnsi="Arial" w:cs="Arial"/>
                <w:sz w:val="16"/>
                <w:szCs w:val="16"/>
              </w:rPr>
              <w:t>dia</w:t>
            </w:r>
            <w:proofErr w:type="gramEnd"/>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8</w:t>
            </w:r>
            <w:proofErr w:type="gramEnd"/>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Ressarcir o órgão por eventuais danos causados por sua culpa, em veículos, equipamentos, dados etc.</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proofErr w:type="gramStart"/>
            <w:r w:rsidRPr="00A66F6F">
              <w:rPr>
                <w:rFonts w:ascii="Arial" w:hAnsi="Arial" w:cs="Arial"/>
                <w:sz w:val="16"/>
                <w:szCs w:val="16"/>
              </w:rPr>
              <w:t>9</w:t>
            </w:r>
            <w:proofErr w:type="gramEnd"/>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Realizar os serviços solicitados e de entregar os respectivos produtos, por tipo e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0,4%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10</w:t>
            </w:r>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Manter a documentação de habilitação atualizada, por item,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01</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11</w:t>
            </w:r>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Apresentar, quando solicitado, documentação fiscal, trabalhista e previdenciária, por ocorrência;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12</w:t>
            </w:r>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Fornecer suporte técnico à contratante, por ocorrência e por dia.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01</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 por dia</w:t>
            </w:r>
          </w:p>
        </w:tc>
      </w:tr>
      <w:tr w:rsidR="00A66F6F" w:rsidRPr="00A66F6F" w:rsidTr="00A66F6F">
        <w:tc>
          <w:tcPr>
            <w:tcW w:w="70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13</w:t>
            </w:r>
          </w:p>
        </w:tc>
        <w:tc>
          <w:tcPr>
            <w:tcW w:w="6205" w:type="dxa"/>
            <w:shd w:val="clear" w:color="auto" w:fill="auto"/>
          </w:tcPr>
          <w:p w:rsidR="00A66F6F" w:rsidRPr="00A66F6F" w:rsidRDefault="00A66F6F" w:rsidP="00A66F6F">
            <w:pPr>
              <w:tabs>
                <w:tab w:val="left" w:pos="284"/>
              </w:tabs>
              <w:rPr>
                <w:rFonts w:ascii="Arial" w:hAnsi="Arial" w:cs="Arial"/>
                <w:sz w:val="16"/>
                <w:szCs w:val="16"/>
              </w:rPr>
            </w:pPr>
            <w:r w:rsidRPr="00A66F6F">
              <w:rPr>
                <w:rFonts w:ascii="Arial" w:hAnsi="Arial" w:cs="Arial"/>
                <w:sz w:val="16"/>
                <w:szCs w:val="16"/>
              </w:rPr>
              <w:t>Substituir funcionário que se conduza de modo inconveniente ou não atenda às necessidades do órgão, por funcionário e por dia.</w:t>
            </w:r>
          </w:p>
        </w:tc>
        <w:tc>
          <w:tcPr>
            <w:tcW w:w="823"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01</w:t>
            </w:r>
          </w:p>
        </w:tc>
        <w:tc>
          <w:tcPr>
            <w:tcW w:w="1619" w:type="dxa"/>
            <w:shd w:val="clear" w:color="auto" w:fill="auto"/>
            <w:vAlign w:val="center"/>
          </w:tcPr>
          <w:p w:rsidR="00A66F6F" w:rsidRPr="00A66F6F" w:rsidRDefault="00A66F6F" w:rsidP="00A66F6F">
            <w:pPr>
              <w:tabs>
                <w:tab w:val="left" w:pos="284"/>
              </w:tabs>
              <w:jc w:val="center"/>
              <w:rPr>
                <w:rFonts w:ascii="Arial" w:hAnsi="Arial" w:cs="Arial"/>
                <w:sz w:val="16"/>
                <w:szCs w:val="16"/>
              </w:rPr>
            </w:pPr>
            <w:r w:rsidRPr="00A66F6F">
              <w:rPr>
                <w:rFonts w:ascii="Arial" w:hAnsi="Arial" w:cs="Arial"/>
                <w:sz w:val="16"/>
                <w:szCs w:val="16"/>
              </w:rPr>
              <w:t>0,2% por dia</w:t>
            </w:r>
          </w:p>
        </w:tc>
      </w:tr>
    </w:tbl>
    <w:p w:rsidR="00A66F6F" w:rsidRPr="00A66F6F" w:rsidRDefault="00A66F6F" w:rsidP="00A66F6F">
      <w:pPr>
        <w:pStyle w:val="PargrafodaLista"/>
        <w:tabs>
          <w:tab w:val="left" w:pos="284"/>
        </w:tabs>
        <w:ind w:left="0"/>
        <w:rPr>
          <w:rFonts w:ascii="Arial" w:hAnsi="Arial" w:cs="Arial"/>
          <w:sz w:val="16"/>
          <w:szCs w:val="16"/>
        </w:rPr>
      </w:pPr>
      <w:r w:rsidRPr="00A66F6F">
        <w:rPr>
          <w:rFonts w:ascii="Arial" w:hAnsi="Arial" w:cs="Arial"/>
          <w:sz w:val="16"/>
          <w:szCs w:val="16"/>
        </w:rPr>
        <w:t>*Incidente sobre o valor mensal do contrato</w:t>
      </w:r>
    </w:p>
    <w:p w:rsidR="00A66F6F" w:rsidRPr="00A66F6F" w:rsidRDefault="00A66F6F" w:rsidP="00A66F6F">
      <w:pPr>
        <w:spacing w:after="120" w:line="276" w:lineRule="auto"/>
        <w:rPr>
          <w:rFonts w:ascii="Arial" w:hAnsi="Arial" w:cs="Arial"/>
          <w:sz w:val="16"/>
          <w:szCs w:val="16"/>
        </w:rPr>
      </w:pPr>
    </w:p>
    <w:p w:rsidR="00A66F6F" w:rsidRDefault="00A66F6F" w:rsidP="00A66F6F">
      <w:pPr>
        <w:pStyle w:val="PargrafodaLista"/>
        <w:numPr>
          <w:ilvl w:val="1"/>
          <w:numId w:val="4"/>
        </w:numPr>
        <w:spacing w:after="120" w:line="360" w:lineRule="auto"/>
        <w:contextualSpacing w:val="0"/>
        <w:jc w:val="both"/>
        <w:rPr>
          <w:rFonts w:ascii="Arial" w:hAnsi="Arial" w:cs="Arial"/>
          <w:sz w:val="16"/>
          <w:szCs w:val="16"/>
        </w:rPr>
      </w:pPr>
      <w:r>
        <w:rPr>
          <w:rFonts w:ascii="Arial" w:hAnsi="Arial" w:cs="Arial"/>
          <w:sz w:val="16"/>
          <w:szCs w:val="16"/>
        </w:rPr>
        <w:t xml:space="preserve"> </w:t>
      </w:r>
      <w:r w:rsidRPr="00A66F6F">
        <w:rPr>
          <w:rFonts w:ascii="Arial" w:hAnsi="Arial" w:cs="Arial"/>
          <w:sz w:val="16"/>
          <w:szCs w:val="16"/>
        </w:rPr>
        <w:t xml:space="preserve">As sanções aqui previstas poderão ser aplicadas concomitantemente, facultada a defesa prévia do interessado no respectivo processo, no prazo de </w:t>
      </w:r>
      <w:proofErr w:type="gramStart"/>
      <w:r w:rsidRPr="00A66F6F">
        <w:rPr>
          <w:rFonts w:ascii="Arial" w:hAnsi="Arial" w:cs="Arial"/>
          <w:sz w:val="16"/>
          <w:szCs w:val="16"/>
        </w:rPr>
        <w:t>5</w:t>
      </w:r>
      <w:proofErr w:type="gramEnd"/>
      <w:r w:rsidRPr="00A66F6F">
        <w:rPr>
          <w:rFonts w:ascii="Arial" w:hAnsi="Arial" w:cs="Arial"/>
          <w:sz w:val="16"/>
          <w:szCs w:val="16"/>
        </w:rPr>
        <w:t xml:space="preserve"> (cinco) dias úteis.</w:t>
      </w:r>
    </w:p>
    <w:p w:rsidR="00A66F6F" w:rsidRDefault="00A66F6F" w:rsidP="00A66F6F">
      <w:pPr>
        <w:pStyle w:val="PargrafodaLista"/>
        <w:numPr>
          <w:ilvl w:val="1"/>
          <w:numId w:val="4"/>
        </w:numPr>
        <w:spacing w:after="120" w:line="360" w:lineRule="auto"/>
        <w:contextualSpacing w:val="0"/>
        <w:jc w:val="both"/>
        <w:rPr>
          <w:rFonts w:ascii="Arial" w:hAnsi="Arial" w:cs="Arial"/>
          <w:sz w:val="16"/>
          <w:szCs w:val="16"/>
        </w:rPr>
      </w:pPr>
      <w:r>
        <w:rPr>
          <w:rFonts w:ascii="Arial" w:hAnsi="Arial" w:cs="Arial"/>
          <w:sz w:val="16"/>
          <w:szCs w:val="16"/>
        </w:rPr>
        <w:t xml:space="preserve"> </w:t>
      </w:r>
      <w:r w:rsidRPr="00A66F6F">
        <w:rPr>
          <w:rFonts w:ascii="Arial" w:hAnsi="Arial" w:cs="Arial"/>
          <w:sz w:val="16"/>
          <w:szCs w:val="16"/>
        </w:rPr>
        <w:t>Após 30 (trinta) dias da falta de execução do objeto, será considerada inexecução total do contrato, o que ensejará a rescisão contratual;</w:t>
      </w:r>
    </w:p>
    <w:p w:rsidR="00A66F6F" w:rsidRDefault="00A66F6F" w:rsidP="00A66F6F">
      <w:pPr>
        <w:pStyle w:val="PargrafodaLista"/>
        <w:numPr>
          <w:ilvl w:val="1"/>
          <w:numId w:val="4"/>
        </w:numPr>
        <w:spacing w:after="120" w:line="360" w:lineRule="auto"/>
        <w:contextualSpacing w:val="0"/>
        <w:jc w:val="both"/>
        <w:rPr>
          <w:rFonts w:ascii="Arial" w:hAnsi="Arial" w:cs="Arial"/>
          <w:sz w:val="16"/>
          <w:szCs w:val="16"/>
        </w:rPr>
      </w:pPr>
      <w:r>
        <w:rPr>
          <w:rFonts w:ascii="Arial" w:hAnsi="Arial" w:cs="Arial"/>
          <w:sz w:val="16"/>
          <w:szCs w:val="16"/>
        </w:rPr>
        <w:t xml:space="preserve"> </w:t>
      </w:r>
      <w:r w:rsidRPr="00A66F6F">
        <w:rPr>
          <w:rFonts w:ascii="Arial" w:hAnsi="Arial" w:cs="Arial"/>
          <w:sz w:val="16"/>
          <w:szCs w:val="16"/>
        </w:rPr>
        <w:t>As sanções de natureza pecuniária serão diretamente descontadas de créditos que eventualmente detenha a contratada ou efetuada a sua cobrança na forma prevista em lei;</w:t>
      </w:r>
    </w:p>
    <w:p w:rsidR="00A66F6F" w:rsidRDefault="00A66F6F" w:rsidP="00A66F6F">
      <w:pPr>
        <w:pStyle w:val="PargrafodaLista"/>
        <w:numPr>
          <w:ilvl w:val="1"/>
          <w:numId w:val="4"/>
        </w:numPr>
        <w:spacing w:after="120" w:line="360" w:lineRule="auto"/>
        <w:contextualSpacing w:val="0"/>
        <w:jc w:val="both"/>
        <w:rPr>
          <w:rFonts w:ascii="Arial" w:hAnsi="Arial" w:cs="Arial"/>
          <w:sz w:val="16"/>
          <w:szCs w:val="16"/>
        </w:rPr>
      </w:pPr>
      <w:r>
        <w:rPr>
          <w:rFonts w:ascii="Arial" w:hAnsi="Arial" w:cs="Arial"/>
          <w:sz w:val="16"/>
          <w:szCs w:val="16"/>
        </w:rPr>
        <w:t xml:space="preserve"> </w:t>
      </w:r>
      <w:r w:rsidRPr="00A66F6F">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66F6F" w:rsidRPr="00A66F6F" w:rsidRDefault="00A66F6F" w:rsidP="00A66F6F">
      <w:pPr>
        <w:pStyle w:val="PargrafodaLista"/>
        <w:numPr>
          <w:ilvl w:val="1"/>
          <w:numId w:val="4"/>
        </w:numPr>
        <w:spacing w:after="120" w:line="360" w:lineRule="auto"/>
        <w:contextualSpacing w:val="0"/>
        <w:jc w:val="both"/>
        <w:rPr>
          <w:rFonts w:ascii="Arial" w:hAnsi="Arial" w:cs="Arial"/>
          <w:sz w:val="16"/>
          <w:szCs w:val="16"/>
        </w:rPr>
      </w:pPr>
      <w:r>
        <w:rPr>
          <w:rFonts w:ascii="Arial" w:hAnsi="Arial" w:cs="Arial"/>
          <w:sz w:val="16"/>
          <w:szCs w:val="16"/>
        </w:rPr>
        <w:t xml:space="preserve"> </w:t>
      </w:r>
      <w:r w:rsidRPr="00A66F6F">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CF14E9" w:rsidRPr="00A66F6F" w:rsidRDefault="00A66F6F" w:rsidP="00A66F6F">
      <w:pPr>
        <w:pStyle w:val="PargrafodaLista"/>
        <w:spacing w:after="120" w:line="360" w:lineRule="auto"/>
        <w:ind w:left="0"/>
        <w:contextualSpacing w:val="0"/>
        <w:jc w:val="both"/>
        <w:rPr>
          <w:rFonts w:ascii="Arial" w:hAnsi="Arial" w:cs="Arial"/>
          <w:sz w:val="16"/>
          <w:szCs w:val="16"/>
        </w:rPr>
      </w:pPr>
      <w:r>
        <w:rPr>
          <w:rFonts w:ascii="Arial" w:hAnsi="Arial" w:cs="Arial"/>
          <w:sz w:val="16"/>
          <w:szCs w:val="16"/>
        </w:rPr>
        <w:t xml:space="preserve">9.16. </w:t>
      </w:r>
      <w:r w:rsidRPr="00A66F6F">
        <w:rPr>
          <w:rFonts w:ascii="Arial" w:hAnsi="Arial" w:cs="Arial"/>
          <w:sz w:val="16"/>
          <w:szCs w:val="16"/>
        </w:rPr>
        <w:t>A sanção será obrigatoriamente registrada no Sistema de Cadastramento Unificado de Fornecedores – SICAF, bem como em sistemas Estaduais.</w:t>
      </w: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lastRenderedPageBreak/>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Pr="009A54D1" w:rsidRDefault="00EF1FC6" w:rsidP="009D2314">
      <w:pPr>
        <w:jc w:val="both"/>
        <w:rPr>
          <w:rFonts w:ascii="Arial" w:hAnsi="Arial" w:cs="Arial"/>
          <w:color w:val="000000"/>
          <w:sz w:val="16"/>
          <w:szCs w:val="16"/>
        </w:rPr>
      </w:pPr>
    </w:p>
    <w:p w:rsidR="0072481F" w:rsidRDefault="0072481F" w:rsidP="005E2FA0">
      <w:pPr>
        <w:spacing w:line="360" w:lineRule="auto"/>
        <w:jc w:val="both"/>
        <w:rPr>
          <w:rFonts w:ascii="Arial" w:hAnsi="Arial" w:cs="Arial"/>
          <w:b/>
          <w:bCs/>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CF14E9" w:rsidRDefault="00CF14E9"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5269EC" w:rsidRDefault="00071758" w:rsidP="001D515A">
      <w:pPr>
        <w:rPr>
          <w:rFonts w:ascii="Arial" w:hAnsi="Arial" w:cs="Arial"/>
          <w:sz w:val="16"/>
          <w:szCs w:val="16"/>
        </w:rPr>
      </w:pPr>
      <w:r w:rsidRPr="00071758">
        <w:rPr>
          <w:rFonts w:ascii="Arial" w:hAnsi="Arial" w:cs="Arial"/>
          <w:b/>
          <w:sz w:val="16"/>
          <w:szCs w:val="16"/>
        </w:rPr>
        <w:lastRenderedPageBreak/>
        <w:t>SEAGRI/RO</w:t>
      </w:r>
      <w:r w:rsidRPr="00A66F6F">
        <w:rPr>
          <w:rFonts w:ascii="Arial" w:hAnsi="Arial" w:cs="Arial"/>
          <w:sz w:val="16"/>
          <w:szCs w:val="16"/>
        </w:rPr>
        <w:t xml:space="preserve"> </w:t>
      </w:r>
      <w:r>
        <w:rPr>
          <w:rFonts w:ascii="Arial" w:hAnsi="Arial" w:cs="Arial"/>
          <w:sz w:val="16"/>
          <w:szCs w:val="16"/>
        </w:rPr>
        <w:t xml:space="preserve">- </w:t>
      </w:r>
      <w:r w:rsidRPr="00A66F6F">
        <w:rPr>
          <w:rFonts w:ascii="Arial" w:hAnsi="Arial" w:cs="Arial"/>
          <w:sz w:val="16"/>
          <w:szCs w:val="16"/>
        </w:rPr>
        <w:t>Secretaria de Estado da Agricultura</w:t>
      </w:r>
      <w:r>
        <w:rPr>
          <w:rFonts w:ascii="Arial" w:hAnsi="Arial" w:cs="Arial"/>
          <w:sz w:val="16"/>
          <w:szCs w:val="16"/>
        </w:rPr>
        <w:t>.</w:t>
      </w:r>
    </w:p>
    <w:p w:rsidR="00071758" w:rsidRDefault="00071758"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72481F" w:rsidRDefault="0072481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1428DB"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C50BF7" w:rsidRPr="00041829" w:rsidRDefault="00163955"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758" w:rsidRDefault="00071758">
      <w:r>
        <w:separator/>
      </w:r>
    </w:p>
  </w:endnote>
  <w:endnote w:type="continuationSeparator" w:id="0">
    <w:p w:rsidR="00071758" w:rsidRDefault="000717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758" w:rsidRDefault="00071758">
      <w:r>
        <w:separator/>
      </w:r>
    </w:p>
  </w:footnote>
  <w:footnote w:type="continuationSeparator" w:id="0">
    <w:p w:rsidR="00071758" w:rsidRDefault="000717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758" w:rsidRDefault="0007175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66256F6"/>
    <w:multiLevelType w:val="hybridMultilevel"/>
    <w:tmpl w:val="E5EE5E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9417E00"/>
    <w:multiLevelType w:val="hybridMultilevel"/>
    <w:tmpl w:val="409E68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6813D6C"/>
    <w:multiLevelType w:val="hybridMultilevel"/>
    <w:tmpl w:val="9618A6C8"/>
    <w:lvl w:ilvl="0" w:tplc="ED56B826">
      <w:start w:val="1"/>
      <w:numFmt w:val="decimal"/>
      <w:lvlText w:val="9.%1"/>
      <w:lvlJc w:val="left"/>
      <w:pPr>
        <w:ind w:left="720" w:hanging="360"/>
      </w:pPr>
      <w:rPr>
        <w:rFonts w:hint="default"/>
        <w:b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4C74BF"/>
    <w:multiLevelType w:val="hybridMultilevel"/>
    <w:tmpl w:val="0A86099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8D163A2"/>
    <w:multiLevelType w:val="hybridMultilevel"/>
    <w:tmpl w:val="29D657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10A6636"/>
    <w:multiLevelType w:val="hybridMultilevel"/>
    <w:tmpl w:val="E3306B0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7"/>
  </w:num>
  <w:num w:numId="2">
    <w:abstractNumId w:val="19"/>
  </w:num>
  <w:num w:numId="3">
    <w:abstractNumId w:val="5"/>
  </w:num>
  <w:num w:numId="4">
    <w:abstractNumId w:val="4"/>
  </w:num>
  <w:num w:numId="5">
    <w:abstractNumId w:val="24"/>
  </w:num>
  <w:num w:numId="6">
    <w:abstractNumId w:val="21"/>
  </w:num>
  <w:num w:numId="7">
    <w:abstractNumId w:val="31"/>
  </w:num>
  <w:num w:numId="8">
    <w:abstractNumId w:val="14"/>
  </w:num>
  <w:num w:numId="9">
    <w:abstractNumId w:val="16"/>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28"/>
  </w:num>
  <w:num w:numId="14">
    <w:abstractNumId w:val="33"/>
  </w:num>
  <w:num w:numId="15">
    <w:abstractNumId w:val="1"/>
  </w:num>
  <w:num w:numId="16">
    <w:abstractNumId w:val="2"/>
  </w:num>
  <w:num w:numId="17">
    <w:abstractNumId w:val="13"/>
  </w:num>
  <w:num w:numId="18">
    <w:abstractNumId w:val="11"/>
  </w:num>
  <w:num w:numId="19">
    <w:abstractNumId w:val="26"/>
  </w:num>
  <w:num w:numId="20">
    <w:abstractNumId w:val="6"/>
  </w:num>
  <w:num w:numId="21">
    <w:abstractNumId w:val="10"/>
  </w:num>
  <w:num w:numId="22">
    <w:abstractNumId w:val="20"/>
  </w:num>
  <w:num w:numId="23">
    <w:abstractNumId w:val="25"/>
  </w:num>
  <w:num w:numId="24">
    <w:abstractNumId w:val="30"/>
  </w:num>
  <w:num w:numId="25">
    <w:abstractNumId w:val="23"/>
  </w:num>
  <w:num w:numId="26">
    <w:abstractNumId w:val="29"/>
  </w:num>
  <w:num w:numId="27">
    <w:abstractNumId w:val="1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5"/>
  </w:num>
  <w:num w:numId="31">
    <w:abstractNumId w:val="8"/>
  </w:num>
  <w:num w:numId="32">
    <w:abstractNumId w:val="17"/>
  </w:num>
  <w:num w:numId="33">
    <w:abstractNumId w:val="22"/>
  </w:num>
  <w:num w:numId="34">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758"/>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3EA"/>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18E7"/>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2481F"/>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67B3F"/>
    <w:rsid w:val="00772640"/>
    <w:rsid w:val="00772B81"/>
    <w:rsid w:val="00774675"/>
    <w:rsid w:val="00781595"/>
    <w:rsid w:val="00781E9A"/>
    <w:rsid w:val="00782950"/>
    <w:rsid w:val="00785E21"/>
    <w:rsid w:val="00786FA5"/>
    <w:rsid w:val="00787FC3"/>
    <w:rsid w:val="0079016B"/>
    <w:rsid w:val="00790B20"/>
    <w:rsid w:val="00791B82"/>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96A65"/>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3259"/>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6F6F"/>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14E9"/>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55CEC"/>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8A70B-8BEC-4AB0-88BE-5CC86D486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3302</Words>
  <Characters>18490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15</cp:revision>
  <cp:lastPrinted>2017-04-12T13:19:00Z</cp:lastPrinted>
  <dcterms:created xsi:type="dcterms:W3CDTF">2017-05-03T15:52:00Z</dcterms:created>
  <dcterms:modified xsi:type="dcterms:W3CDTF">2017-05-16T13:41:00Z</dcterms:modified>
</cp:coreProperties>
</file>