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w:t>
      </w:r>
      <w:proofErr w:type="gramStart"/>
      <w:r>
        <w:t>2</w:t>
      </w:r>
      <w:proofErr w:type="gramEnd"/>
      <w:r>
        <w:t xml:space="preserve">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285A0F">
        <w:rPr>
          <w:rFonts w:ascii="Arial" w:hAnsi="Arial" w:cs="Arial"/>
          <w:sz w:val="16"/>
          <w:szCs w:val="16"/>
        </w:rPr>
        <w:t>0</w:t>
      </w:r>
      <w:r w:rsidR="001438B9">
        <w:rPr>
          <w:rFonts w:ascii="Arial" w:hAnsi="Arial" w:cs="Arial"/>
          <w:sz w:val="16"/>
          <w:szCs w:val="16"/>
        </w:rPr>
        <w:t>85</w:t>
      </w:r>
      <w:r w:rsidR="008C7613" w:rsidRPr="001606A8">
        <w:rPr>
          <w:rFonts w:ascii="Arial" w:hAnsi="Arial" w:cs="Arial"/>
          <w:sz w:val="16"/>
          <w:szCs w:val="16"/>
        </w:rPr>
        <w:t>/201</w:t>
      </w:r>
      <w:r w:rsidR="00B87D9E">
        <w:rPr>
          <w:rFonts w:ascii="Arial" w:hAnsi="Arial" w:cs="Arial"/>
          <w:sz w:val="16"/>
          <w:szCs w:val="16"/>
        </w:rPr>
        <w:t>7</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7C552A">
        <w:rPr>
          <w:rFonts w:ascii="Arial" w:hAnsi="Arial" w:cs="Arial"/>
          <w:bCs/>
          <w:sz w:val="16"/>
          <w:szCs w:val="16"/>
        </w:rPr>
        <w:t>7</w:t>
      </w:r>
      <w:r w:rsidR="001438B9">
        <w:rPr>
          <w:rFonts w:ascii="Arial" w:hAnsi="Arial" w:cs="Arial"/>
          <w:bCs/>
          <w:sz w:val="16"/>
          <w:szCs w:val="16"/>
        </w:rPr>
        <w:t>79</w:t>
      </w:r>
      <w:r w:rsidR="00B87D9E" w:rsidRPr="00B87D9E">
        <w:rPr>
          <w:rFonts w:ascii="Arial" w:hAnsi="Arial" w:cs="Arial"/>
          <w:bCs/>
          <w:sz w:val="16"/>
          <w:szCs w:val="16"/>
        </w:rPr>
        <w:t>/2016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3F5D" w:rsidRPr="001606A8">
        <w:rPr>
          <w:rFonts w:ascii="Arial" w:hAnsi="Arial" w:cs="Arial"/>
          <w:bCs/>
          <w:sz w:val="16"/>
          <w:szCs w:val="16"/>
        </w:rPr>
        <w:t>1</w:t>
      </w:r>
      <w:r w:rsidR="001643CD" w:rsidRPr="001606A8">
        <w:rPr>
          <w:rFonts w:ascii="Arial" w:hAnsi="Arial" w:cs="Arial"/>
          <w:bCs/>
          <w:sz w:val="16"/>
          <w:szCs w:val="16"/>
        </w:rPr>
        <w:t>712.</w:t>
      </w:r>
      <w:r w:rsidR="00285A0F">
        <w:rPr>
          <w:rFonts w:ascii="Arial" w:hAnsi="Arial" w:cs="Arial"/>
          <w:bCs/>
          <w:sz w:val="16"/>
          <w:szCs w:val="16"/>
        </w:rPr>
        <w:t>0</w:t>
      </w:r>
      <w:r w:rsidR="007C552A">
        <w:rPr>
          <w:rFonts w:ascii="Arial" w:hAnsi="Arial" w:cs="Arial"/>
          <w:bCs/>
          <w:sz w:val="16"/>
          <w:szCs w:val="16"/>
        </w:rPr>
        <w:t>754</w:t>
      </w:r>
      <w:r w:rsidR="001438B9">
        <w:rPr>
          <w:rFonts w:ascii="Arial" w:hAnsi="Arial" w:cs="Arial"/>
          <w:bCs/>
          <w:sz w:val="16"/>
          <w:szCs w:val="16"/>
        </w:rPr>
        <w:t>8</w:t>
      </w:r>
      <w:r w:rsidR="00285A0F">
        <w:rPr>
          <w:rFonts w:ascii="Arial" w:hAnsi="Arial" w:cs="Arial"/>
          <w:bCs/>
          <w:sz w:val="16"/>
          <w:szCs w:val="16"/>
        </w:rPr>
        <w:t>-00/201</w:t>
      </w:r>
      <w:r w:rsidR="007C552A">
        <w:rPr>
          <w:rFonts w:ascii="Arial" w:hAnsi="Arial" w:cs="Arial"/>
          <w:bCs/>
          <w:sz w:val="16"/>
          <w:szCs w:val="16"/>
        </w:rPr>
        <w:t>6</w:t>
      </w:r>
    </w:p>
    <w:p w:rsidR="009D2314" w:rsidRPr="00587C0E" w:rsidRDefault="009D2314" w:rsidP="00F73958">
      <w:pPr>
        <w:pStyle w:val="Cabealho"/>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5B5A57">
        <w:rPr>
          <w:rFonts w:ascii="Arial" w:hAnsi="Arial" w:cs="Arial"/>
          <w:sz w:val="16"/>
          <w:szCs w:val="16"/>
        </w:rPr>
        <w:t>N° 2986, Complexo Rio Madeira - Ed. Pacaás Novos – 2 ºAndar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7C552A">
        <w:rPr>
          <w:rFonts w:ascii="Arial" w:hAnsi="Arial" w:cs="Arial"/>
          <w:color w:val="000000"/>
          <w:sz w:val="16"/>
          <w:szCs w:val="16"/>
        </w:rPr>
        <w:t>Márcio Rogério Gabriel e a(s) empresa(s) qualificada(s) no</w:t>
      </w:r>
      <w:r w:rsidR="00190648" w:rsidRPr="007C552A">
        <w:rPr>
          <w:rFonts w:ascii="Arial" w:hAnsi="Arial" w:cs="Arial"/>
          <w:color w:val="000000"/>
          <w:sz w:val="16"/>
          <w:szCs w:val="16"/>
        </w:rPr>
        <w:t xml:space="preserve"> Anexo Único desta Ata, resolvem</w:t>
      </w:r>
      <w:r w:rsidR="002E300A" w:rsidRPr="007C552A">
        <w:rPr>
          <w:rFonts w:ascii="Arial" w:hAnsi="Arial" w:cs="Arial"/>
          <w:color w:val="000000"/>
          <w:sz w:val="16"/>
          <w:szCs w:val="16"/>
        </w:rPr>
        <w:t xml:space="preserve"> REGISTRAR O PREÇ</w:t>
      </w:r>
      <w:r w:rsidR="00F17DD3" w:rsidRPr="007C552A">
        <w:rPr>
          <w:rFonts w:ascii="Arial" w:hAnsi="Arial" w:cs="Arial"/>
          <w:color w:val="000000"/>
          <w:sz w:val="16"/>
          <w:szCs w:val="16"/>
        </w:rPr>
        <w:t xml:space="preserve">O </w:t>
      </w:r>
      <w:r w:rsidR="001438B9" w:rsidRPr="001438B9">
        <w:rPr>
          <w:rFonts w:ascii="Arial" w:hAnsi="Arial" w:cs="Arial"/>
          <w:color w:val="000000"/>
          <w:sz w:val="16"/>
          <w:szCs w:val="16"/>
        </w:rPr>
        <w:t>para futura e eventual aquisição de MEDICAMENTOS e/ou PRODUTOS PARA SAÚDE (Grupo de Apresentação GERAIS II – Ampola, Frasco/Ampola, Soluções Orais, Comprimidos, Bisnagas e outros), com a finalidade de atender as necessidades e demandas do Núcleo de Mandados Judiciais – NMJ, setor/núcleo vinculado à estrutura</w:t>
      </w:r>
      <w:r w:rsidR="001438B9">
        <w:rPr>
          <w:rFonts w:ascii="Arial" w:hAnsi="Arial" w:cs="Arial"/>
          <w:color w:val="000000"/>
          <w:sz w:val="16"/>
          <w:szCs w:val="16"/>
        </w:rPr>
        <w:t xml:space="preserve"> organizacional e operacional, </w:t>
      </w:r>
      <w:r w:rsidRPr="007C552A">
        <w:rPr>
          <w:rFonts w:ascii="Arial" w:hAnsi="Arial" w:cs="Arial"/>
          <w:color w:val="000000"/>
          <w:sz w:val="16"/>
          <w:szCs w:val="16"/>
        </w:rPr>
        <w:t>a pedido da Secretaria de Estado da Saúde – SESAU/RO</w:t>
      </w:r>
      <w:r w:rsidR="00954AB0" w:rsidRPr="007C552A">
        <w:rPr>
          <w:rFonts w:ascii="Arial" w:hAnsi="Arial" w:cs="Arial"/>
          <w:color w:val="000000"/>
          <w:sz w:val="16"/>
          <w:szCs w:val="16"/>
        </w:rPr>
        <w:t>,</w:t>
      </w:r>
      <w:r w:rsidR="00AF3F5D" w:rsidRPr="007C552A">
        <w:rPr>
          <w:rFonts w:ascii="Arial" w:hAnsi="Arial" w:cs="Arial"/>
          <w:color w:val="000000"/>
          <w:sz w:val="16"/>
          <w:szCs w:val="16"/>
        </w:rPr>
        <w:t xml:space="preserve"> </w:t>
      </w:r>
      <w:r w:rsidR="00DF042C" w:rsidRPr="007C552A">
        <w:rPr>
          <w:rFonts w:ascii="Arial" w:hAnsi="Arial" w:cs="Arial"/>
          <w:color w:val="000000"/>
          <w:sz w:val="16"/>
          <w:szCs w:val="16"/>
        </w:rPr>
        <w:t xml:space="preserve">por um período de 12 (doze) meses, </w:t>
      </w:r>
      <w:r w:rsidR="002E300A" w:rsidRPr="007C552A">
        <w:rPr>
          <w:rFonts w:ascii="Arial" w:hAnsi="Arial" w:cs="Arial"/>
          <w:color w:val="000000"/>
          <w:sz w:val="16"/>
          <w:szCs w:val="16"/>
        </w:rPr>
        <w:t>conforme Anexo Único desta ata, atendendo as condições previstas no instrumento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1438B9" w:rsidRPr="001438B9">
        <w:rPr>
          <w:rFonts w:ascii="Arial" w:hAnsi="Arial" w:cs="Arial"/>
          <w:color w:val="000000"/>
          <w:sz w:val="16"/>
          <w:szCs w:val="16"/>
        </w:rPr>
        <w:t>para futura e eventual aquisição de MEDICAMENTOS e/ou PRODUTOS PARA SAÚDE (Grupo de Apresentação GERAIS II – Ampola, Frasco/Ampola, Soluções Orais, Comprimidos, Bisnagas e outros), com a finalidade de atender as necessidades e demandas do Núcleo de Mandados Judiciais – NMJ, setor/núcleo vinculado à estrutura</w:t>
      </w:r>
      <w:r w:rsidR="001438B9">
        <w:rPr>
          <w:rFonts w:ascii="Arial" w:hAnsi="Arial" w:cs="Arial"/>
          <w:color w:val="000000"/>
          <w:sz w:val="16"/>
          <w:szCs w:val="16"/>
        </w:rPr>
        <w:t xml:space="preserve"> organizacional e operacional, </w:t>
      </w:r>
      <w:r w:rsidR="001438B9" w:rsidRPr="007C552A">
        <w:rPr>
          <w:rFonts w:ascii="Arial" w:hAnsi="Arial" w:cs="Arial"/>
          <w:color w:val="000000"/>
          <w:sz w:val="16"/>
          <w:szCs w:val="16"/>
        </w:rPr>
        <w:t>a pedido da Secretaria de Estado da Saúde – SESAU/RO</w:t>
      </w:r>
      <w:r w:rsidR="001606A8" w:rsidRPr="003C0AED">
        <w:rPr>
          <w:rFonts w:ascii="Arial" w:hAnsi="Arial" w:cs="Arial"/>
          <w:sz w:val="16"/>
          <w:szCs w:val="16"/>
        </w:rPr>
        <w:t>.</w:t>
      </w:r>
    </w:p>
    <w:p w:rsidR="001606A8" w:rsidRDefault="001606A8"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CF6290" w:rsidRDefault="009D2314" w:rsidP="00CF6290">
      <w:pPr>
        <w:pStyle w:val="Recuodecorpodetexto3"/>
        <w:numPr>
          <w:ilvl w:val="1"/>
          <w:numId w:val="2"/>
        </w:numPr>
        <w:spacing w:after="0"/>
        <w:rPr>
          <w:b/>
          <w:bCs/>
          <w:sz w:val="16"/>
          <w:szCs w:val="16"/>
        </w:rPr>
      </w:pPr>
      <w:r w:rsidRPr="009A54D1">
        <w:rPr>
          <w:sz w:val="16"/>
          <w:szCs w:val="16"/>
        </w:rPr>
        <w:t>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w:t>
      </w:r>
      <w:proofErr w:type="gramStart"/>
      <w:r w:rsidR="002C5AC0" w:rsidRPr="009A54D1">
        <w:rPr>
          <w:sz w:val="16"/>
          <w:szCs w:val="16"/>
        </w:rPr>
        <w:t xml:space="preserve"> </w:t>
      </w:r>
      <w:r w:rsidR="00CF6290">
        <w:rPr>
          <w:sz w:val="16"/>
          <w:szCs w:val="16"/>
        </w:rPr>
        <w:t xml:space="preserve"> </w:t>
      </w:r>
      <w:proofErr w:type="gramEnd"/>
      <w:r w:rsidR="002C5AC0" w:rsidRPr="009A54D1">
        <w:rPr>
          <w:sz w:val="16"/>
          <w:szCs w:val="16"/>
        </w:rPr>
        <w:t xml:space="preserve">convocatório. </w:t>
      </w:r>
      <w:r w:rsidRPr="009A54D1">
        <w:rPr>
          <w:b/>
          <w:bCs/>
          <w:sz w:val="16"/>
          <w:szCs w:val="16"/>
        </w:rPr>
        <w:t> </w:t>
      </w:r>
    </w:p>
    <w:p w:rsidR="009D2314" w:rsidRDefault="009D2314" w:rsidP="00160FBE">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w:t>
      </w:r>
      <w:r w:rsidRPr="007C552A">
        <w:rPr>
          <w:rFonts w:ascii="Arial" w:hAnsi="Arial" w:cs="Arial"/>
          <w:sz w:val="16"/>
          <w:szCs w:val="16"/>
        </w:rPr>
        <w:t>73 inciso II, “a” e “b”, da Lei 8.666/93 e alterações.</w:t>
      </w:r>
    </w:p>
    <w:p w:rsidR="001438B9" w:rsidRDefault="001438B9" w:rsidP="001438B9">
      <w:pPr>
        <w:pStyle w:val="Corpodetexto3"/>
        <w:tabs>
          <w:tab w:val="left" w:pos="900"/>
        </w:tabs>
        <w:ind w:left="360" w:right="47"/>
        <w:rPr>
          <w:rFonts w:ascii="Arial" w:hAnsi="Arial" w:cs="Arial"/>
          <w:sz w:val="16"/>
          <w:szCs w:val="16"/>
        </w:rPr>
      </w:pPr>
    </w:p>
    <w:p w:rsidR="001438B9" w:rsidRDefault="00F17DD3" w:rsidP="001438B9">
      <w:pPr>
        <w:pStyle w:val="Corpodetexto3"/>
        <w:numPr>
          <w:ilvl w:val="1"/>
          <w:numId w:val="2"/>
        </w:numPr>
        <w:tabs>
          <w:tab w:val="clear" w:pos="360"/>
          <w:tab w:val="num" w:pos="284"/>
          <w:tab w:val="left" w:pos="900"/>
        </w:tabs>
        <w:ind w:left="0" w:right="47" w:firstLine="0"/>
        <w:rPr>
          <w:rFonts w:ascii="Arial" w:hAnsi="Arial" w:cs="Arial"/>
          <w:sz w:val="16"/>
          <w:szCs w:val="16"/>
        </w:rPr>
      </w:pPr>
      <w:r w:rsidRPr="001438B9">
        <w:rPr>
          <w:rFonts w:ascii="Arial" w:hAnsi="Arial" w:cs="Arial"/>
          <w:b/>
          <w:sz w:val="16"/>
          <w:szCs w:val="16"/>
        </w:rPr>
        <w:t>PRAZO DE ENTREGA:</w:t>
      </w:r>
      <w:r w:rsidR="00F111D9" w:rsidRPr="001438B9">
        <w:rPr>
          <w:rFonts w:ascii="Arial" w:hAnsi="Arial" w:cs="Arial"/>
          <w:sz w:val="16"/>
          <w:szCs w:val="16"/>
        </w:rPr>
        <w:t xml:space="preserve"> </w:t>
      </w:r>
      <w:r w:rsidR="001438B9" w:rsidRPr="001438B9">
        <w:rPr>
          <w:rFonts w:ascii="Arial" w:hAnsi="Arial" w:cs="Arial"/>
          <w:sz w:val="16"/>
          <w:szCs w:val="16"/>
        </w:rPr>
        <w:t>Por se tratar de demanda judicial com prazo exíguo de cumprimento, a entrega deverá ser efetuada no prazo máximo de 05 (cinco) dias corridos, na totalidade do objeto contratado, contados a partir do recebimento da Nota de Empenho.</w:t>
      </w:r>
    </w:p>
    <w:p w:rsidR="001438B9" w:rsidRDefault="001438B9" w:rsidP="001438B9">
      <w:pPr>
        <w:pStyle w:val="PargrafodaLista"/>
        <w:rPr>
          <w:rFonts w:ascii="Arial" w:hAnsi="Arial" w:cs="Arial"/>
          <w:sz w:val="16"/>
          <w:szCs w:val="16"/>
        </w:rPr>
      </w:pPr>
    </w:p>
    <w:p w:rsidR="001438B9" w:rsidRDefault="001438B9" w:rsidP="001438B9">
      <w:pPr>
        <w:pStyle w:val="Corpodetexto3"/>
        <w:numPr>
          <w:ilvl w:val="2"/>
          <w:numId w:val="2"/>
        </w:numPr>
        <w:tabs>
          <w:tab w:val="clear" w:pos="720"/>
          <w:tab w:val="num" w:pos="426"/>
          <w:tab w:val="left" w:pos="900"/>
        </w:tabs>
        <w:ind w:left="0" w:right="47" w:firstLine="0"/>
        <w:rPr>
          <w:rFonts w:ascii="Arial" w:hAnsi="Arial" w:cs="Arial"/>
          <w:sz w:val="16"/>
          <w:szCs w:val="16"/>
        </w:rPr>
      </w:pPr>
      <w:r w:rsidRPr="001438B9">
        <w:rPr>
          <w:rFonts w:ascii="Arial" w:hAnsi="Arial" w:cs="Arial"/>
          <w:sz w:val="16"/>
          <w:szCs w:val="16"/>
        </w:rPr>
        <w:t>A empresa vencedora deverá comunicar a data e o horário previsto para a entrega dos produtos a Comissão de Recebimento de Materiais, Bens e Serviços da Secretaria de Estado da Saúde de Rondônia, através da Comissão de Recebimento do NMJ/SESAU-RO – Relativo a Medicamentos e Materiais Médicos Hospitalares, no horário do expediente, com 48 (quarenta e oito) horas de antecedência.</w:t>
      </w:r>
    </w:p>
    <w:p w:rsidR="001438B9" w:rsidRDefault="001438B9" w:rsidP="001438B9">
      <w:pPr>
        <w:pStyle w:val="Corpodetexto3"/>
        <w:tabs>
          <w:tab w:val="left" w:pos="900"/>
        </w:tabs>
        <w:ind w:right="47"/>
        <w:rPr>
          <w:rFonts w:ascii="Arial" w:hAnsi="Arial" w:cs="Arial"/>
          <w:sz w:val="16"/>
          <w:szCs w:val="16"/>
        </w:rPr>
      </w:pPr>
    </w:p>
    <w:p w:rsidR="001438B9" w:rsidRPr="001438B9" w:rsidRDefault="001438B9" w:rsidP="001438B9">
      <w:pPr>
        <w:pStyle w:val="Corpodetexto3"/>
        <w:numPr>
          <w:ilvl w:val="2"/>
          <w:numId w:val="2"/>
        </w:numPr>
        <w:tabs>
          <w:tab w:val="clear" w:pos="720"/>
          <w:tab w:val="num" w:pos="426"/>
          <w:tab w:val="left" w:pos="900"/>
        </w:tabs>
        <w:ind w:left="0" w:right="47" w:firstLine="0"/>
        <w:rPr>
          <w:rFonts w:ascii="Arial" w:hAnsi="Arial" w:cs="Arial"/>
          <w:sz w:val="16"/>
          <w:szCs w:val="16"/>
        </w:rPr>
      </w:pPr>
      <w:r w:rsidRPr="001438B9">
        <w:rPr>
          <w:rFonts w:ascii="Arial" w:hAnsi="Arial" w:cs="Arial"/>
          <w:sz w:val="16"/>
          <w:szCs w:val="16"/>
        </w:rPr>
        <w:t xml:space="preserve">Comunicar por escrito e oficialmente a Secretaria Estadual de Saúde de Rondônia, através da Comissão de Recebimentos do NMJ/SESAU-RO, no prazo máximo de 48 (quarenta e oito) horas que anteceda a data de entrega, apresentando os motivos que impossibilitem o cumprimento do prazo previsto, com a devida comprovação. </w:t>
      </w:r>
    </w:p>
    <w:p w:rsidR="00B87D9E" w:rsidRPr="007C552A" w:rsidRDefault="00B87D9E" w:rsidP="001438B9">
      <w:pPr>
        <w:pStyle w:val="Corpodetexto3"/>
        <w:tabs>
          <w:tab w:val="left" w:pos="900"/>
        </w:tabs>
        <w:ind w:left="360" w:right="47"/>
        <w:rPr>
          <w:rFonts w:ascii="Arial" w:hAnsi="Arial" w:cs="Arial"/>
          <w:sz w:val="16"/>
          <w:szCs w:val="16"/>
        </w:rPr>
      </w:pPr>
    </w:p>
    <w:p w:rsidR="001606A8" w:rsidRPr="001438B9" w:rsidRDefault="00F17DD3" w:rsidP="00B87D9E">
      <w:pPr>
        <w:pStyle w:val="PargrafodaLista"/>
        <w:numPr>
          <w:ilvl w:val="1"/>
          <w:numId w:val="2"/>
        </w:numPr>
        <w:jc w:val="both"/>
        <w:rPr>
          <w:rFonts w:ascii="Arial" w:hAnsi="Arial" w:cs="Arial"/>
          <w:sz w:val="16"/>
          <w:szCs w:val="16"/>
          <w:lang w:eastAsia="zh-CN"/>
        </w:rPr>
      </w:pPr>
      <w:r w:rsidRPr="001438B9">
        <w:rPr>
          <w:rFonts w:ascii="Arial" w:hAnsi="Arial" w:cs="Arial"/>
          <w:b/>
          <w:sz w:val="16"/>
          <w:szCs w:val="16"/>
          <w:lang w:eastAsia="zh-CN"/>
        </w:rPr>
        <w:lastRenderedPageBreak/>
        <w:t>LOCAL/HORÁRIOS:</w:t>
      </w:r>
      <w:r w:rsidRPr="001438B9">
        <w:rPr>
          <w:rFonts w:ascii="Arial" w:hAnsi="Arial" w:cs="Arial"/>
          <w:sz w:val="16"/>
          <w:szCs w:val="16"/>
          <w:lang w:eastAsia="zh-CN"/>
        </w:rPr>
        <w:t xml:space="preserve"> </w:t>
      </w:r>
      <w:r w:rsidR="001438B9" w:rsidRPr="001438B9">
        <w:rPr>
          <w:rFonts w:ascii="Arial" w:hAnsi="Arial" w:cs="Arial"/>
          <w:sz w:val="16"/>
          <w:szCs w:val="16"/>
          <w:lang w:eastAsia="zh-CN"/>
        </w:rPr>
        <w:t xml:space="preserve">Os medicamentos e produtos para saúde deverão ser entregues no: Setor de </w:t>
      </w:r>
      <w:proofErr w:type="spellStart"/>
      <w:r w:rsidR="001438B9" w:rsidRPr="001438B9">
        <w:rPr>
          <w:rFonts w:ascii="Arial" w:hAnsi="Arial" w:cs="Arial"/>
          <w:sz w:val="16"/>
          <w:szCs w:val="16"/>
          <w:lang w:eastAsia="zh-CN"/>
        </w:rPr>
        <w:t>Dispensação</w:t>
      </w:r>
      <w:proofErr w:type="spellEnd"/>
      <w:r w:rsidR="001438B9" w:rsidRPr="001438B9">
        <w:rPr>
          <w:rFonts w:ascii="Arial" w:hAnsi="Arial" w:cs="Arial"/>
          <w:sz w:val="16"/>
          <w:szCs w:val="16"/>
          <w:lang w:eastAsia="zh-CN"/>
        </w:rPr>
        <w:t xml:space="preserve"> e Almoxarifado do Núcleo de Ações Judiciais - NMJ/SESAU, sito a Av. </w:t>
      </w:r>
      <w:proofErr w:type="spellStart"/>
      <w:r w:rsidR="001438B9" w:rsidRPr="001438B9">
        <w:rPr>
          <w:rFonts w:ascii="Arial" w:hAnsi="Arial" w:cs="Arial"/>
          <w:sz w:val="16"/>
          <w:szCs w:val="16"/>
          <w:lang w:eastAsia="zh-CN"/>
        </w:rPr>
        <w:t>Calama</w:t>
      </w:r>
      <w:proofErr w:type="spellEnd"/>
      <w:r w:rsidR="001438B9" w:rsidRPr="001438B9">
        <w:rPr>
          <w:rFonts w:ascii="Arial" w:hAnsi="Arial" w:cs="Arial"/>
          <w:sz w:val="16"/>
          <w:szCs w:val="16"/>
          <w:lang w:eastAsia="zh-CN"/>
        </w:rPr>
        <w:t>, 1750 – Bairro: São João Bosco – Fone: (69) 3216-7214/3216-7320 – Email: juridico.nmj.sesau@gmail.com - CEP: 78.803-768 – Porto Velho/RO, horário de expediente das repartições estaduais públicas, sendo das 07h30min horas às 13h30min horas, de segunda a sexta-feira. Aos cuidados dos membros da Comissão de Recebimento NMJ/SESAU-RO.</w:t>
      </w:r>
    </w:p>
    <w:p w:rsidR="00285A0F" w:rsidRPr="001438B9" w:rsidRDefault="00285A0F" w:rsidP="00285A0F">
      <w:pPr>
        <w:pStyle w:val="PargrafodaLista"/>
        <w:rPr>
          <w:rFonts w:ascii="Arial" w:hAnsi="Arial" w:cs="Arial"/>
          <w:sz w:val="16"/>
          <w:szCs w:val="16"/>
          <w:lang w:eastAsia="zh-CN"/>
        </w:rPr>
      </w:pPr>
    </w:p>
    <w:p w:rsidR="00285A0F" w:rsidRPr="00285A0F" w:rsidRDefault="00285A0F" w:rsidP="00285A0F">
      <w:pPr>
        <w:pStyle w:val="PargrafodaLista"/>
        <w:ind w:left="360"/>
        <w:jc w:val="both"/>
        <w:rPr>
          <w:rFonts w:ascii="Arial" w:hAnsi="Arial" w:cs="Arial"/>
          <w:bCs/>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Pr="00DC3A58"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DAS INFRAÇÕES</w:t>
      </w:r>
      <w:r w:rsidR="00DC3A58">
        <w:rPr>
          <w:rFonts w:ascii="Arial" w:hAnsi="Arial" w:cs="Arial"/>
          <w:b/>
          <w:bCs/>
          <w:sz w:val="16"/>
          <w:szCs w:val="16"/>
        </w:rPr>
        <w:t xml:space="preserve"> E DAS SANÇÕES ADMINISTRATIVAS:</w:t>
      </w:r>
    </w:p>
    <w:p w:rsidR="008E4E8A" w:rsidRPr="001438B9" w:rsidRDefault="008E4E8A" w:rsidP="001D7CAD">
      <w:pPr>
        <w:pStyle w:val="Lista2"/>
        <w:ind w:left="0" w:firstLine="0"/>
        <w:jc w:val="both"/>
        <w:rPr>
          <w:color w:val="000000"/>
          <w:sz w:val="16"/>
          <w:szCs w:val="16"/>
        </w:rPr>
      </w:pPr>
    </w:p>
    <w:p w:rsidR="001438B9" w:rsidRPr="001438B9" w:rsidRDefault="001438B9" w:rsidP="001438B9">
      <w:pPr>
        <w:pStyle w:val="PargrafodaLista"/>
        <w:numPr>
          <w:ilvl w:val="1"/>
          <w:numId w:val="20"/>
        </w:numPr>
        <w:jc w:val="both"/>
        <w:rPr>
          <w:rFonts w:ascii="Arial" w:hAnsi="Arial" w:cs="Arial"/>
          <w:color w:val="000000"/>
          <w:sz w:val="16"/>
          <w:szCs w:val="16"/>
        </w:rPr>
      </w:pPr>
      <w:r w:rsidRPr="001438B9">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1438B9" w:rsidRPr="001438B9" w:rsidRDefault="001438B9" w:rsidP="001438B9">
      <w:pPr>
        <w:spacing w:line="360" w:lineRule="auto"/>
        <w:jc w:val="both"/>
        <w:rPr>
          <w:rFonts w:ascii="Arial" w:hAnsi="Arial" w:cs="Arial"/>
          <w:color w:val="000000"/>
          <w:sz w:val="16"/>
          <w:szCs w:val="16"/>
        </w:rPr>
      </w:pPr>
    </w:p>
    <w:p w:rsidR="001438B9" w:rsidRPr="001438B9" w:rsidRDefault="001438B9" w:rsidP="001438B9">
      <w:pPr>
        <w:pStyle w:val="PargrafodaLista"/>
        <w:numPr>
          <w:ilvl w:val="1"/>
          <w:numId w:val="20"/>
        </w:numPr>
        <w:jc w:val="both"/>
        <w:rPr>
          <w:rFonts w:ascii="Arial" w:hAnsi="Arial" w:cs="Arial"/>
          <w:color w:val="000000"/>
          <w:sz w:val="16"/>
          <w:szCs w:val="16"/>
        </w:rPr>
      </w:pPr>
      <w:r w:rsidRPr="001438B9">
        <w:rPr>
          <w:rFonts w:ascii="Arial" w:hAnsi="Arial" w:cs="Arial"/>
          <w:color w:val="000000"/>
          <w:sz w:val="16"/>
          <w:szCs w:val="16"/>
        </w:rPr>
        <w:tab/>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1438B9" w:rsidRPr="001438B9" w:rsidRDefault="001438B9" w:rsidP="001438B9">
      <w:pPr>
        <w:spacing w:line="360" w:lineRule="auto"/>
        <w:jc w:val="both"/>
        <w:rPr>
          <w:rFonts w:ascii="Arial" w:hAnsi="Arial" w:cs="Arial"/>
          <w:color w:val="000000"/>
          <w:sz w:val="16"/>
          <w:szCs w:val="16"/>
        </w:rPr>
      </w:pPr>
    </w:p>
    <w:p w:rsidR="001438B9" w:rsidRPr="001438B9" w:rsidRDefault="001438B9" w:rsidP="001438B9">
      <w:pPr>
        <w:pStyle w:val="PargrafodaLista"/>
        <w:numPr>
          <w:ilvl w:val="1"/>
          <w:numId w:val="20"/>
        </w:numPr>
        <w:jc w:val="both"/>
        <w:rPr>
          <w:rFonts w:ascii="Arial" w:hAnsi="Arial" w:cs="Arial"/>
          <w:color w:val="000000"/>
          <w:sz w:val="16"/>
          <w:szCs w:val="16"/>
        </w:rPr>
      </w:pPr>
      <w:r w:rsidRPr="001438B9">
        <w:rPr>
          <w:rFonts w:ascii="Arial" w:hAnsi="Arial" w:cs="Arial"/>
          <w:color w:val="000000"/>
          <w:sz w:val="16"/>
          <w:szCs w:val="16"/>
        </w:rPr>
        <w:tab/>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1438B9">
        <w:rPr>
          <w:rFonts w:ascii="Arial" w:hAnsi="Arial" w:cs="Arial"/>
          <w:color w:val="000000"/>
          <w:sz w:val="16"/>
          <w:szCs w:val="16"/>
        </w:rPr>
        <w:t>descredenciado no Cadastro de Fornecedores Estadual</w:t>
      </w:r>
      <w:proofErr w:type="gramEnd"/>
      <w:r w:rsidRPr="001438B9">
        <w:rPr>
          <w:rFonts w:ascii="Arial" w:hAnsi="Arial" w:cs="Arial"/>
          <w:color w:val="000000"/>
          <w:sz w:val="16"/>
          <w:szCs w:val="16"/>
        </w:rPr>
        <w:t>, pelo prazo de até 05 (cinco) anos, sem prejuízo das multas previstas no Edital e das demais cominações legais, devendo ser incluída a penalidade no SICAFI e no CAGEFOR (Cadastro Estadual de Fornecedores Impedidos de Licitar).</w:t>
      </w:r>
    </w:p>
    <w:p w:rsidR="001438B9" w:rsidRPr="001438B9" w:rsidRDefault="001438B9" w:rsidP="001438B9">
      <w:pPr>
        <w:spacing w:line="360" w:lineRule="auto"/>
        <w:jc w:val="both"/>
        <w:rPr>
          <w:rFonts w:ascii="Arial" w:hAnsi="Arial" w:cs="Arial"/>
          <w:color w:val="000000"/>
          <w:sz w:val="16"/>
          <w:szCs w:val="16"/>
        </w:rPr>
      </w:pPr>
    </w:p>
    <w:p w:rsidR="001438B9" w:rsidRDefault="001438B9" w:rsidP="001438B9">
      <w:pPr>
        <w:pStyle w:val="PargrafodaLista"/>
        <w:numPr>
          <w:ilvl w:val="1"/>
          <w:numId w:val="20"/>
        </w:numPr>
        <w:jc w:val="both"/>
        <w:rPr>
          <w:rFonts w:ascii="Arial" w:hAnsi="Arial" w:cs="Arial"/>
          <w:color w:val="000000"/>
          <w:sz w:val="16"/>
          <w:szCs w:val="16"/>
        </w:rPr>
      </w:pPr>
      <w:r w:rsidRPr="001438B9">
        <w:rPr>
          <w:rFonts w:ascii="Arial" w:hAnsi="Arial" w:cs="Arial"/>
          <w:color w:val="000000"/>
          <w:sz w:val="16"/>
          <w:szCs w:val="16"/>
        </w:rPr>
        <w:tab/>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1438B9" w:rsidRPr="001438B9" w:rsidRDefault="001438B9" w:rsidP="001438B9">
      <w:pPr>
        <w:pStyle w:val="PargrafodaLista"/>
        <w:rPr>
          <w:rFonts w:ascii="Arial" w:hAnsi="Arial" w:cs="Arial"/>
          <w:color w:val="000000"/>
          <w:sz w:val="16"/>
          <w:szCs w:val="16"/>
        </w:rPr>
      </w:pPr>
    </w:p>
    <w:p w:rsidR="001438B9" w:rsidRPr="001438B9" w:rsidRDefault="001438B9" w:rsidP="001438B9">
      <w:pPr>
        <w:pStyle w:val="PargrafodaLista"/>
        <w:ind w:left="360"/>
        <w:jc w:val="both"/>
        <w:rPr>
          <w:rFonts w:ascii="Arial" w:hAnsi="Arial" w:cs="Arial"/>
          <w:color w:val="000000"/>
          <w:sz w:val="16"/>
          <w:szCs w:val="16"/>
        </w:rPr>
      </w:pPr>
    </w:p>
    <w:p w:rsidR="001438B9" w:rsidRPr="001438B9" w:rsidRDefault="001438B9" w:rsidP="001438B9">
      <w:pPr>
        <w:pStyle w:val="PargrafodaLista"/>
        <w:numPr>
          <w:ilvl w:val="1"/>
          <w:numId w:val="20"/>
        </w:numPr>
        <w:jc w:val="both"/>
        <w:rPr>
          <w:rFonts w:ascii="Arial" w:hAnsi="Arial" w:cs="Arial"/>
          <w:color w:val="000000"/>
          <w:sz w:val="16"/>
          <w:szCs w:val="16"/>
        </w:rPr>
      </w:pPr>
      <w:r w:rsidRPr="001438B9">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1438B9" w:rsidRPr="001438B9" w:rsidRDefault="001438B9" w:rsidP="001438B9">
      <w:pPr>
        <w:pStyle w:val="PargrafodaLista"/>
        <w:ind w:left="360"/>
        <w:jc w:val="both"/>
        <w:rPr>
          <w:rFonts w:ascii="Arial" w:hAnsi="Arial" w:cs="Arial"/>
          <w:color w:val="000000"/>
          <w:sz w:val="16"/>
          <w:szCs w:val="16"/>
        </w:rPr>
      </w:pPr>
    </w:p>
    <w:p w:rsidR="001438B9" w:rsidRPr="001438B9" w:rsidRDefault="001438B9" w:rsidP="001438B9">
      <w:pPr>
        <w:pStyle w:val="PargrafodaLista"/>
        <w:numPr>
          <w:ilvl w:val="1"/>
          <w:numId w:val="20"/>
        </w:numPr>
        <w:jc w:val="both"/>
        <w:rPr>
          <w:rFonts w:ascii="Arial" w:hAnsi="Arial" w:cs="Arial"/>
          <w:color w:val="000000"/>
          <w:sz w:val="16"/>
          <w:szCs w:val="16"/>
        </w:rPr>
      </w:pPr>
      <w:r w:rsidRPr="001438B9">
        <w:rPr>
          <w:rFonts w:ascii="Arial" w:hAnsi="Arial" w:cs="Arial"/>
          <w:color w:val="000000"/>
          <w:sz w:val="16"/>
          <w:szCs w:val="16"/>
        </w:rPr>
        <w:tab/>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438B9" w:rsidRPr="001438B9" w:rsidRDefault="001438B9" w:rsidP="001438B9">
      <w:pPr>
        <w:pStyle w:val="PargrafodaLista"/>
        <w:ind w:left="360"/>
        <w:jc w:val="both"/>
        <w:rPr>
          <w:rFonts w:ascii="Arial" w:hAnsi="Arial" w:cs="Arial"/>
          <w:color w:val="000000"/>
          <w:sz w:val="16"/>
          <w:szCs w:val="16"/>
        </w:rPr>
      </w:pPr>
    </w:p>
    <w:p w:rsidR="001438B9" w:rsidRPr="001438B9" w:rsidRDefault="001438B9" w:rsidP="001438B9">
      <w:pPr>
        <w:pStyle w:val="PargrafodaLista"/>
        <w:numPr>
          <w:ilvl w:val="1"/>
          <w:numId w:val="20"/>
        </w:numPr>
        <w:jc w:val="both"/>
        <w:rPr>
          <w:rFonts w:ascii="Arial" w:hAnsi="Arial" w:cs="Arial"/>
          <w:color w:val="000000"/>
          <w:sz w:val="16"/>
          <w:szCs w:val="16"/>
        </w:rPr>
      </w:pPr>
      <w:r w:rsidRPr="001438B9">
        <w:rPr>
          <w:rFonts w:ascii="Arial" w:hAnsi="Arial" w:cs="Arial"/>
          <w:color w:val="000000"/>
          <w:sz w:val="16"/>
          <w:szCs w:val="16"/>
        </w:rPr>
        <w:tab/>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438B9" w:rsidRPr="001438B9" w:rsidRDefault="001438B9" w:rsidP="001438B9">
      <w:pPr>
        <w:pStyle w:val="PargrafodaLista"/>
        <w:ind w:left="360"/>
        <w:jc w:val="both"/>
        <w:rPr>
          <w:rFonts w:ascii="Arial" w:hAnsi="Arial" w:cs="Arial"/>
          <w:color w:val="000000"/>
          <w:sz w:val="16"/>
          <w:szCs w:val="16"/>
        </w:rPr>
      </w:pPr>
    </w:p>
    <w:p w:rsidR="001438B9" w:rsidRDefault="001438B9" w:rsidP="001438B9">
      <w:pPr>
        <w:pStyle w:val="PargrafodaLista"/>
        <w:numPr>
          <w:ilvl w:val="1"/>
          <w:numId w:val="20"/>
        </w:numPr>
        <w:jc w:val="both"/>
        <w:rPr>
          <w:rFonts w:ascii="Arial" w:hAnsi="Arial" w:cs="Arial"/>
          <w:color w:val="000000"/>
          <w:sz w:val="16"/>
          <w:szCs w:val="16"/>
        </w:rPr>
      </w:pPr>
      <w:r w:rsidRPr="001438B9">
        <w:rPr>
          <w:rFonts w:ascii="Arial" w:hAnsi="Arial" w:cs="Arial"/>
          <w:color w:val="000000"/>
          <w:sz w:val="16"/>
          <w:szCs w:val="16"/>
        </w:rPr>
        <w:tab/>
        <w:t>São exemplos de infração administrativa penalizáveis, nos termos da Lei nº 8.666, de 1993, da Lei nº 10.520, de 2002, do Decreto nº 3.555, de 2000, e do Decreto nº 5.450, de 2005:</w:t>
      </w:r>
    </w:p>
    <w:p w:rsidR="001438B9" w:rsidRPr="001438B9" w:rsidRDefault="001438B9" w:rsidP="001438B9">
      <w:pPr>
        <w:pStyle w:val="PargrafodaLista"/>
        <w:rPr>
          <w:rFonts w:ascii="Arial" w:hAnsi="Arial" w:cs="Arial"/>
          <w:color w:val="000000"/>
          <w:sz w:val="16"/>
          <w:szCs w:val="16"/>
        </w:rPr>
      </w:pPr>
    </w:p>
    <w:p w:rsidR="001438B9" w:rsidRPr="001438B9" w:rsidRDefault="001438B9" w:rsidP="001438B9">
      <w:pPr>
        <w:pStyle w:val="PargrafodaLista"/>
        <w:ind w:left="360"/>
        <w:jc w:val="both"/>
        <w:rPr>
          <w:rFonts w:ascii="Arial" w:hAnsi="Arial" w:cs="Arial"/>
          <w:color w:val="000000"/>
          <w:sz w:val="16"/>
          <w:szCs w:val="16"/>
        </w:rPr>
      </w:pPr>
    </w:p>
    <w:p w:rsidR="001438B9" w:rsidRPr="001438B9" w:rsidRDefault="001438B9" w:rsidP="001438B9">
      <w:pPr>
        <w:spacing w:line="360" w:lineRule="auto"/>
        <w:ind w:left="2268"/>
        <w:jc w:val="both"/>
        <w:rPr>
          <w:rFonts w:ascii="Arial" w:hAnsi="Arial" w:cs="Arial"/>
          <w:color w:val="000000"/>
          <w:sz w:val="16"/>
          <w:szCs w:val="16"/>
        </w:rPr>
      </w:pPr>
      <w:proofErr w:type="gramStart"/>
      <w:r w:rsidRPr="001438B9">
        <w:rPr>
          <w:rFonts w:ascii="Arial" w:hAnsi="Arial" w:cs="Arial"/>
          <w:color w:val="000000"/>
          <w:sz w:val="16"/>
          <w:szCs w:val="16"/>
        </w:rPr>
        <w:t>a</w:t>
      </w:r>
      <w:proofErr w:type="gramEnd"/>
      <w:r w:rsidRPr="001438B9">
        <w:rPr>
          <w:rFonts w:ascii="Arial" w:hAnsi="Arial" w:cs="Arial"/>
          <w:color w:val="000000"/>
          <w:sz w:val="16"/>
          <w:szCs w:val="16"/>
        </w:rPr>
        <w:t>)  Inexecução total ou parcial do contrato.</w:t>
      </w:r>
    </w:p>
    <w:p w:rsidR="001438B9" w:rsidRPr="001438B9" w:rsidRDefault="001438B9" w:rsidP="001438B9">
      <w:pPr>
        <w:spacing w:line="360" w:lineRule="auto"/>
        <w:ind w:left="2268"/>
        <w:jc w:val="both"/>
        <w:rPr>
          <w:rFonts w:ascii="Arial" w:hAnsi="Arial" w:cs="Arial"/>
          <w:color w:val="000000"/>
          <w:sz w:val="16"/>
          <w:szCs w:val="16"/>
        </w:rPr>
      </w:pPr>
      <w:proofErr w:type="gramStart"/>
      <w:r w:rsidRPr="001438B9">
        <w:rPr>
          <w:rFonts w:ascii="Arial" w:hAnsi="Arial" w:cs="Arial"/>
          <w:color w:val="000000"/>
          <w:sz w:val="16"/>
          <w:szCs w:val="16"/>
        </w:rPr>
        <w:t>b)</w:t>
      </w:r>
      <w:proofErr w:type="gramEnd"/>
      <w:r w:rsidRPr="001438B9">
        <w:rPr>
          <w:rFonts w:ascii="Arial" w:hAnsi="Arial" w:cs="Arial"/>
          <w:color w:val="000000"/>
          <w:sz w:val="16"/>
          <w:szCs w:val="16"/>
        </w:rPr>
        <w:t>  Apresentação de documentação falsa.</w:t>
      </w:r>
    </w:p>
    <w:p w:rsidR="001438B9" w:rsidRPr="001438B9" w:rsidRDefault="001438B9" w:rsidP="001438B9">
      <w:pPr>
        <w:spacing w:line="360" w:lineRule="auto"/>
        <w:ind w:left="2268"/>
        <w:jc w:val="both"/>
        <w:rPr>
          <w:rFonts w:ascii="Arial" w:hAnsi="Arial" w:cs="Arial"/>
          <w:color w:val="000000"/>
          <w:sz w:val="16"/>
          <w:szCs w:val="16"/>
        </w:rPr>
      </w:pPr>
      <w:proofErr w:type="gramStart"/>
      <w:r w:rsidRPr="001438B9">
        <w:rPr>
          <w:rFonts w:ascii="Arial" w:hAnsi="Arial" w:cs="Arial"/>
          <w:color w:val="000000"/>
          <w:sz w:val="16"/>
          <w:szCs w:val="16"/>
        </w:rPr>
        <w:t>c)</w:t>
      </w:r>
      <w:proofErr w:type="gramEnd"/>
      <w:r w:rsidRPr="001438B9">
        <w:rPr>
          <w:rFonts w:ascii="Arial" w:hAnsi="Arial" w:cs="Arial"/>
          <w:color w:val="000000"/>
          <w:sz w:val="16"/>
          <w:szCs w:val="16"/>
        </w:rPr>
        <w:t>  Comportamento inidôneo.</w:t>
      </w:r>
    </w:p>
    <w:p w:rsidR="001438B9" w:rsidRPr="001438B9" w:rsidRDefault="001438B9" w:rsidP="001438B9">
      <w:pPr>
        <w:spacing w:line="360" w:lineRule="auto"/>
        <w:ind w:left="2268"/>
        <w:jc w:val="both"/>
        <w:rPr>
          <w:rFonts w:ascii="Arial" w:hAnsi="Arial" w:cs="Arial"/>
          <w:color w:val="000000"/>
          <w:sz w:val="16"/>
          <w:szCs w:val="16"/>
        </w:rPr>
      </w:pPr>
      <w:proofErr w:type="gramStart"/>
      <w:r w:rsidRPr="001438B9">
        <w:rPr>
          <w:rFonts w:ascii="Arial" w:hAnsi="Arial" w:cs="Arial"/>
          <w:color w:val="000000"/>
          <w:sz w:val="16"/>
          <w:szCs w:val="16"/>
        </w:rPr>
        <w:t>d)</w:t>
      </w:r>
      <w:proofErr w:type="gramEnd"/>
      <w:r w:rsidRPr="001438B9">
        <w:rPr>
          <w:rFonts w:ascii="Arial" w:hAnsi="Arial" w:cs="Arial"/>
          <w:color w:val="000000"/>
          <w:sz w:val="16"/>
          <w:szCs w:val="16"/>
        </w:rPr>
        <w:t>  Fraude fiscal.</w:t>
      </w:r>
    </w:p>
    <w:p w:rsidR="001438B9" w:rsidRPr="001438B9" w:rsidRDefault="001438B9" w:rsidP="001438B9">
      <w:pPr>
        <w:spacing w:line="360" w:lineRule="auto"/>
        <w:ind w:left="2268"/>
        <w:jc w:val="both"/>
        <w:rPr>
          <w:rFonts w:ascii="Arial" w:hAnsi="Arial" w:cs="Arial"/>
          <w:color w:val="000000"/>
          <w:sz w:val="16"/>
          <w:szCs w:val="16"/>
        </w:rPr>
      </w:pPr>
      <w:proofErr w:type="gramStart"/>
      <w:r w:rsidRPr="001438B9">
        <w:rPr>
          <w:rFonts w:ascii="Arial" w:hAnsi="Arial" w:cs="Arial"/>
          <w:color w:val="000000"/>
          <w:sz w:val="16"/>
          <w:szCs w:val="16"/>
        </w:rPr>
        <w:t>e</w:t>
      </w:r>
      <w:proofErr w:type="gramEnd"/>
      <w:r w:rsidRPr="001438B9">
        <w:rPr>
          <w:rFonts w:ascii="Arial" w:hAnsi="Arial" w:cs="Arial"/>
          <w:color w:val="000000"/>
          <w:sz w:val="16"/>
          <w:szCs w:val="16"/>
        </w:rPr>
        <w:t>)  Descumprimento de qualquer dos deveres elencados no Edital ou no Contrato.</w:t>
      </w:r>
    </w:p>
    <w:p w:rsidR="001438B9" w:rsidRPr="001438B9" w:rsidRDefault="001438B9" w:rsidP="001438B9">
      <w:pPr>
        <w:pStyle w:val="PargrafodaLista"/>
        <w:ind w:left="360"/>
        <w:jc w:val="both"/>
        <w:rPr>
          <w:rFonts w:ascii="Arial" w:hAnsi="Arial" w:cs="Arial"/>
          <w:color w:val="000000"/>
          <w:sz w:val="16"/>
          <w:szCs w:val="16"/>
        </w:rPr>
      </w:pPr>
    </w:p>
    <w:p w:rsidR="001438B9" w:rsidRPr="001438B9" w:rsidRDefault="001438B9" w:rsidP="001438B9">
      <w:pPr>
        <w:pStyle w:val="PargrafodaLista"/>
        <w:numPr>
          <w:ilvl w:val="1"/>
          <w:numId w:val="20"/>
        </w:numPr>
        <w:jc w:val="both"/>
        <w:rPr>
          <w:rFonts w:ascii="Arial" w:hAnsi="Arial" w:cs="Arial"/>
          <w:color w:val="000000"/>
          <w:sz w:val="16"/>
          <w:szCs w:val="16"/>
        </w:rPr>
      </w:pPr>
      <w:r w:rsidRPr="001438B9">
        <w:rPr>
          <w:rFonts w:ascii="Arial" w:hAnsi="Arial" w:cs="Arial"/>
          <w:color w:val="000000"/>
          <w:sz w:val="16"/>
          <w:szCs w:val="16"/>
        </w:rPr>
        <w:tab/>
        <w:t>As sanções serão aplicadas sem prejuízo da responsabilidade civil e criminal que possa ser acionada em desfavor da Contratada, conforme infração cometida e prejuízos causados à administração ou a terceiros.</w:t>
      </w:r>
    </w:p>
    <w:p w:rsidR="001438B9" w:rsidRPr="001438B9" w:rsidRDefault="001438B9" w:rsidP="001438B9">
      <w:pPr>
        <w:pStyle w:val="PargrafodaLista"/>
        <w:ind w:left="360"/>
        <w:jc w:val="both"/>
        <w:rPr>
          <w:rFonts w:ascii="Arial" w:hAnsi="Arial" w:cs="Arial"/>
          <w:color w:val="000000"/>
          <w:sz w:val="16"/>
          <w:szCs w:val="16"/>
        </w:rPr>
      </w:pPr>
    </w:p>
    <w:p w:rsidR="001438B9" w:rsidRDefault="001438B9" w:rsidP="001438B9">
      <w:pPr>
        <w:pStyle w:val="PargrafodaLista"/>
        <w:numPr>
          <w:ilvl w:val="1"/>
          <w:numId w:val="20"/>
        </w:numPr>
        <w:jc w:val="both"/>
        <w:rPr>
          <w:rFonts w:ascii="Arial" w:hAnsi="Arial" w:cs="Arial"/>
          <w:color w:val="000000"/>
          <w:sz w:val="16"/>
          <w:szCs w:val="16"/>
        </w:rPr>
      </w:pPr>
      <w:r w:rsidRPr="001438B9">
        <w:rPr>
          <w:rFonts w:ascii="Arial" w:hAnsi="Arial" w:cs="Arial"/>
          <w:color w:val="000000"/>
          <w:sz w:val="16"/>
          <w:szCs w:val="16"/>
        </w:rPr>
        <w:tab/>
        <w:t>Para efeito de aplicação de multas, às infrações são atribuídos graus, com percentuais de multa conforme a tabela a seguir, que elenca apenas as principais situações previstas, não eximindo de outras equivalentes que surgirem, conforme o caso:</w:t>
      </w:r>
    </w:p>
    <w:p w:rsidR="001438B9" w:rsidRPr="001438B9" w:rsidRDefault="001438B9" w:rsidP="001438B9">
      <w:pPr>
        <w:pStyle w:val="PargrafodaLista"/>
        <w:rPr>
          <w:rFonts w:ascii="Arial" w:hAnsi="Arial" w:cs="Arial"/>
          <w:color w:val="000000"/>
          <w:sz w:val="16"/>
          <w:szCs w:val="16"/>
        </w:rPr>
      </w:pPr>
    </w:p>
    <w:p w:rsidR="001438B9" w:rsidRPr="001438B9" w:rsidRDefault="001438B9" w:rsidP="001438B9">
      <w:pPr>
        <w:pStyle w:val="PargrafodaLista"/>
        <w:ind w:left="360"/>
        <w:jc w:val="both"/>
        <w:rPr>
          <w:rFonts w:ascii="Arial" w:hAnsi="Arial" w:cs="Arial"/>
          <w:color w:val="000000"/>
          <w:sz w:val="16"/>
          <w:szCs w:val="16"/>
        </w:rPr>
      </w:pPr>
    </w:p>
    <w:tbl>
      <w:tblPr>
        <w:tblW w:w="7620" w:type="dxa"/>
        <w:jc w:val="center"/>
        <w:shd w:val="clear" w:color="auto" w:fill="FFFFFF"/>
        <w:tblCellMar>
          <w:left w:w="0" w:type="dxa"/>
          <w:right w:w="0" w:type="dxa"/>
        </w:tblCellMar>
        <w:tblLook w:val="04A0"/>
      </w:tblPr>
      <w:tblGrid>
        <w:gridCol w:w="804"/>
        <w:gridCol w:w="4582"/>
        <w:gridCol w:w="912"/>
        <w:gridCol w:w="1322"/>
      </w:tblGrid>
      <w:tr w:rsidR="001438B9" w:rsidRPr="001438B9" w:rsidTr="001438B9">
        <w:trPr>
          <w:jc w:val="center"/>
        </w:trPr>
        <w:tc>
          <w:tcPr>
            <w:tcW w:w="80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ITEM</w:t>
            </w:r>
          </w:p>
        </w:tc>
        <w:tc>
          <w:tcPr>
            <w:tcW w:w="458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DESCRIÇÃO DA INFRAÇÃO</w:t>
            </w:r>
          </w:p>
        </w:tc>
        <w:tc>
          <w:tcPr>
            <w:tcW w:w="91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GRAU</w:t>
            </w:r>
          </w:p>
        </w:tc>
        <w:tc>
          <w:tcPr>
            <w:tcW w:w="132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MULTA*</w:t>
            </w:r>
          </w:p>
        </w:tc>
      </w:tr>
      <w:tr w:rsidR="001438B9" w:rsidRPr="001438B9" w:rsidTr="001438B9">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1.</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 xml:space="preserve">Permitir situação que crie a possibilidade ou cause dano físico, lesão corporal ou </w:t>
            </w:r>
            <w:proofErr w:type="spellStart"/>
            <w:r w:rsidRPr="001438B9">
              <w:rPr>
                <w:rFonts w:ascii="Arial" w:hAnsi="Arial" w:cs="Arial"/>
                <w:color w:val="000000"/>
                <w:sz w:val="16"/>
                <w:szCs w:val="16"/>
              </w:rPr>
              <w:t>consequências</w:t>
            </w:r>
            <w:proofErr w:type="spellEnd"/>
            <w:r w:rsidRPr="001438B9">
              <w:rPr>
                <w:rFonts w:ascii="Arial" w:hAnsi="Arial" w:cs="Arial"/>
                <w:color w:val="000000"/>
                <w:sz w:val="16"/>
                <w:szCs w:val="16"/>
              </w:rPr>
              <w:t xml:space="preserve"> letais;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06</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4,0% por dia</w:t>
            </w:r>
          </w:p>
        </w:tc>
      </w:tr>
      <w:tr w:rsidR="001438B9" w:rsidRPr="001438B9" w:rsidTr="001438B9">
        <w:trPr>
          <w:trHeight w:val="600"/>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lastRenderedPageBreak/>
              <w:t>2.</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Usar indevidamente informações sigilosas a que teve acesso;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06</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4,0% por dia</w:t>
            </w:r>
          </w:p>
        </w:tc>
      </w:tr>
      <w:tr w:rsidR="001438B9" w:rsidRPr="001438B9" w:rsidTr="001438B9">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3.</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Suspender ou interromper, salvo por motivo de força maior ou caso fortuito, os serviços contratuais por dia e por unidade de atendimento;</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05</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3,2% por dia</w:t>
            </w:r>
          </w:p>
        </w:tc>
      </w:tr>
      <w:tr w:rsidR="001438B9" w:rsidRPr="001438B9" w:rsidTr="001438B9">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4.</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Destruir ou danificar documentos por culpa ou dolo de seus agentes;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05</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3,2% por dia</w:t>
            </w:r>
          </w:p>
        </w:tc>
      </w:tr>
      <w:tr w:rsidR="001438B9" w:rsidRPr="001438B9" w:rsidTr="001438B9">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5.</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Recusar-se a executar serviço determinado pela FISCALIZAÇÃO, sem motivo justificado;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04</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1,6% por dia</w:t>
            </w:r>
          </w:p>
        </w:tc>
      </w:tr>
      <w:tr w:rsidR="001438B9" w:rsidRPr="001438B9" w:rsidTr="001438B9">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6.</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Executar serviço incompleto, paliativo substitutivo como por caráter permanente, ou deixar de providenciar recomposição complementar;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0,4% por dia</w:t>
            </w:r>
          </w:p>
        </w:tc>
      </w:tr>
      <w:tr w:rsidR="001438B9" w:rsidRPr="001438B9" w:rsidTr="001438B9">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7.</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Fornecer informação pérfida de serviço ou substituição de Cartão/ equipamento/software;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0,4% por dia</w:t>
            </w:r>
          </w:p>
        </w:tc>
      </w:tr>
      <w:tr w:rsidR="001438B9" w:rsidRPr="001438B9" w:rsidTr="001438B9">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8.</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Manter credenciamento ou descredenciamento de estabelecimento sem a anuência prévia do Gestor do Contrato, por ocorrência(s);</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0,2% por dia</w:t>
            </w:r>
          </w:p>
        </w:tc>
      </w:tr>
      <w:tr w:rsidR="001438B9" w:rsidRPr="001438B9" w:rsidTr="001438B9">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9.</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Tratar de maneira diferenciada os estabelecimentos credenciados por si, dos motivados por conta própria ou encaminhados pelo Gestor do Contrato, por ocorrência(s) e por estabelecimento;</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0,2% por dia</w:t>
            </w:r>
          </w:p>
        </w:tc>
      </w:tr>
      <w:tr w:rsidR="001438B9" w:rsidRPr="001438B9" w:rsidTr="001438B9">
        <w:trPr>
          <w:jc w:val="center"/>
        </w:trPr>
        <w:tc>
          <w:tcPr>
            <w:tcW w:w="7620" w:type="dxa"/>
            <w:gridSpan w:val="4"/>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Para os itens a seguir, deixar de:</w:t>
            </w:r>
          </w:p>
        </w:tc>
      </w:tr>
      <w:tr w:rsidR="001438B9" w:rsidRPr="001438B9" w:rsidTr="001438B9">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10.</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Efetuar o pagamento da rede credenciada no prazo estipulado; por dia 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06</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4,0% por dia</w:t>
            </w:r>
          </w:p>
        </w:tc>
      </w:tr>
      <w:tr w:rsidR="001438B9" w:rsidRPr="001438B9" w:rsidTr="001438B9">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11.</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05</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3,2% por dia</w:t>
            </w:r>
          </w:p>
        </w:tc>
      </w:tr>
      <w:tr w:rsidR="001438B9" w:rsidRPr="001438B9" w:rsidTr="001438B9">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12.</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Efetuar a restauração do sistema e reposição de equipamentos danificados, por motivo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04</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1,6% por dia</w:t>
            </w:r>
          </w:p>
        </w:tc>
      </w:tr>
      <w:tr w:rsidR="001438B9" w:rsidRPr="001438B9" w:rsidTr="001438B9">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13.</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03</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0,8% por dia</w:t>
            </w:r>
          </w:p>
        </w:tc>
      </w:tr>
      <w:tr w:rsidR="001438B9" w:rsidRPr="001438B9" w:rsidTr="00DC3A58">
        <w:trPr>
          <w:trHeight w:val="586"/>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14.</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Cumprir determinação formal ou instrução complementar da</w:t>
            </w:r>
          </w:p>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FISCALIZAÇÃO,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03</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0,8% por dia</w:t>
            </w:r>
          </w:p>
        </w:tc>
      </w:tr>
      <w:tr w:rsidR="001438B9" w:rsidRPr="001438B9" w:rsidTr="001438B9">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15.</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Iniciar execução de serviço nos prazos estabelecidos, observados os limites mínimos estabelecidos por este Contrato; por serviço,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0,4% por dia</w:t>
            </w:r>
          </w:p>
        </w:tc>
      </w:tr>
      <w:tr w:rsidR="001438B9" w:rsidRPr="001438B9" w:rsidTr="001438B9">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16.</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Disponibilizar os equipamentos, sistema, estabelecimentos credenciados, em numero mínimo, treinamento, suporte e demais necessários à realização dos serviços do escopo do contrato;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04% por dia</w:t>
            </w:r>
          </w:p>
        </w:tc>
      </w:tr>
      <w:tr w:rsidR="001438B9" w:rsidRPr="001438B9" w:rsidTr="001438B9">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17.</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Ressarcir o órgão por eventuais danos causados por sua culpa, em veículos, equipamentos, dados, etc.</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0,4% por dia</w:t>
            </w:r>
          </w:p>
        </w:tc>
      </w:tr>
      <w:tr w:rsidR="001438B9" w:rsidRPr="001438B9" w:rsidTr="001438B9">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18.</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Fornecer as senhas e relatórios exigidos para o objeto, por tipo 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0,4% por dia</w:t>
            </w:r>
          </w:p>
        </w:tc>
      </w:tr>
      <w:tr w:rsidR="001438B9" w:rsidRPr="001438B9" w:rsidTr="001438B9">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19.</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Fiscalizar e controlar, diariamente, a atuação da rede credenciada, por estabelecimento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0,2% por dia</w:t>
            </w:r>
          </w:p>
        </w:tc>
      </w:tr>
      <w:tr w:rsidR="001438B9" w:rsidRPr="001438B9" w:rsidTr="001438B9">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20.</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Credenciar estabelecimento por proposta própria ou encaminhada pelo Gestor do Contrato, por ocorrência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0,2% por dia</w:t>
            </w:r>
          </w:p>
        </w:tc>
      </w:tr>
      <w:tr w:rsidR="001438B9" w:rsidRPr="001438B9" w:rsidTr="001438B9">
        <w:trPr>
          <w:trHeight w:val="219"/>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21.</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Manter a documentação de habilitação atualizada; por item,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0,2% por dia</w:t>
            </w:r>
          </w:p>
        </w:tc>
      </w:tr>
      <w:tr w:rsidR="001438B9" w:rsidRPr="001438B9" w:rsidTr="001438B9">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22.</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Substituir funcionário que se conduza de modo inconveniente ou não atenda às necessidades do Órgão, por funcionário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0,2% por dia</w:t>
            </w:r>
          </w:p>
        </w:tc>
      </w:tr>
      <w:tr w:rsidR="001438B9" w:rsidRPr="001438B9" w:rsidTr="001438B9">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23.</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Fornecer suporte técnico à Contratante e à rede credenciada, por ocorrência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438B9" w:rsidRPr="001438B9" w:rsidRDefault="001438B9" w:rsidP="001438B9">
            <w:pPr>
              <w:jc w:val="center"/>
              <w:rPr>
                <w:rFonts w:ascii="Arial" w:hAnsi="Arial" w:cs="Arial"/>
                <w:color w:val="000000"/>
                <w:sz w:val="16"/>
                <w:szCs w:val="16"/>
              </w:rPr>
            </w:pPr>
            <w:r w:rsidRPr="001438B9">
              <w:rPr>
                <w:rFonts w:ascii="Arial" w:hAnsi="Arial" w:cs="Arial"/>
                <w:color w:val="000000"/>
                <w:sz w:val="16"/>
                <w:szCs w:val="16"/>
              </w:rPr>
              <w:t>0,2% por dia</w:t>
            </w:r>
          </w:p>
        </w:tc>
      </w:tr>
    </w:tbl>
    <w:p w:rsidR="001438B9" w:rsidRDefault="001438B9" w:rsidP="001438B9">
      <w:pPr>
        <w:spacing w:line="360" w:lineRule="auto"/>
        <w:jc w:val="both"/>
        <w:rPr>
          <w:rFonts w:ascii="Arial" w:hAnsi="Arial" w:cs="Arial"/>
          <w:color w:val="000000"/>
          <w:sz w:val="16"/>
          <w:szCs w:val="16"/>
        </w:rPr>
      </w:pPr>
      <w:r w:rsidRPr="001438B9">
        <w:rPr>
          <w:rFonts w:ascii="Arial" w:hAnsi="Arial" w:cs="Arial"/>
          <w:color w:val="000000"/>
          <w:sz w:val="16"/>
          <w:szCs w:val="16"/>
        </w:rPr>
        <w:t> </w:t>
      </w:r>
      <w:r w:rsidRPr="001438B9">
        <w:rPr>
          <w:rFonts w:ascii="Arial" w:hAnsi="Arial" w:cs="Arial"/>
          <w:color w:val="000000"/>
          <w:sz w:val="16"/>
          <w:szCs w:val="16"/>
        </w:rPr>
        <w:tab/>
        <w:t>* Incidente sobre o valor mensal do contrato.</w:t>
      </w:r>
    </w:p>
    <w:p w:rsidR="001438B9" w:rsidRPr="001438B9" w:rsidRDefault="001438B9" w:rsidP="001438B9">
      <w:pPr>
        <w:spacing w:line="360" w:lineRule="auto"/>
        <w:jc w:val="both"/>
        <w:rPr>
          <w:rFonts w:ascii="Arial" w:hAnsi="Arial" w:cs="Arial"/>
          <w:color w:val="000000"/>
          <w:sz w:val="16"/>
          <w:szCs w:val="16"/>
        </w:rPr>
      </w:pPr>
    </w:p>
    <w:p w:rsidR="001438B9" w:rsidRPr="001438B9" w:rsidRDefault="001438B9" w:rsidP="001438B9">
      <w:pPr>
        <w:pStyle w:val="PargrafodaLista"/>
        <w:numPr>
          <w:ilvl w:val="1"/>
          <w:numId w:val="20"/>
        </w:numPr>
        <w:jc w:val="both"/>
        <w:rPr>
          <w:rFonts w:ascii="Arial" w:hAnsi="Arial" w:cs="Arial"/>
          <w:color w:val="000000"/>
          <w:sz w:val="16"/>
          <w:szCs w:val="16"/>
        </w:rPr>
      </w:pPr>
      <w:r w:rsidRPr="001438B9">
        <w:rPr>
          <w:rFonts w:ascii="Arial" w:hAnsi="Arial" w:cs="Arial"/>
          <w:color w:val="000000"/>
          <w:sz w:val="16"/>
          <w:szCs w:val="16"/>
        </w:rPr>
        <w:tab/>
        <w:t>As sanções aqui previstas poderão ser aplicadas concomitantemente, facultada a defesa prévia do interessado, no respectivo processo, no prazo de 05 (cinco) dias úteis.</w:t>
      </w:r>
    </w:p>
    <w:p w:rsidR="001438B9" w:rsidRPr="001438B9" w:rsidRDefault="001438B9" w:rsidP="001438B9">
      <w:pPr>
        <w:pStyle w:val="PargrafodaLista"/>
        <w:ind w:left="360"/>
        <w:jc w:val="both"/>
        <w:rPr>
          <w:rFonts w:ascii="Arial" w:hAnsi="Arial" w:cs="Arial"/>
          <w:color w:val="000000"/>
          <w:sz w:val="16"/>
          <w:szCs w:val="16"/>
        </w:rPr>
      </w:pPr>
    </w:p>
    <w:p w:rsidR="001438B9" w:rsidRPr="001438B9" w:rsidRDefault="001438B9" w:rsidP="001438B9">
      <w:pPr>
        <w:pStyle w:val="PargrafodaLista"/>
        <w:numPr>
          <w:ilvl w:val="1"/>
          <w:numId w:val="20"/>
        </w:numPr>
        <w:jc w:val="both"/>
        <w:rPr>
          <w:rFonts w:ascii="Arial" w:hAnsi="Arial" w:cs="Arial"/>
          <w:color w:val="000000"/>
          <w:sz w:val="16"/>
          <w:szCs w:val="16"/>
        </w:rPr>
      </w:pPr>
      <w:r w:rsidRPr="001438B9">
        <w:rPr>
          <w:rFonts w:ascii="Arial" w:hAnsi="Arial" w:cs="Arial"/>
          <w:color w:val="000000"/>
          <w:sz w:val="16"/>
          <w:szCs w:val="16"/>
        </w:rPr>
        <w:tab/>
        <w:t>Após 30 (trinta) dias da falta de execução do objeto, será considerada inexecução total do contrato, o que ensejará a rescisão contratual.</w:t>
      </w:r>
    </w:p>
    <w:p w:rsidR="001438B9" w:rsidRPr="001438B9" w:rsidRDefault="001438B9" w:rsidP="001438B9">
      <w:pPr>
        <w:pStyle w:val="PargrafodaLista"/>
        <w:ind w:left="360"/>
        <w:jc w:val="both"/>
        <w:rPr>
          <w:rFonts w:ascii="Arial" w:hAnsi="Arial" w:cs="Arial"/>
          <w:color w:val="000000"/>
          <w:sz w:val="16"/>
          <w:szCs w:val="16"/>
        </w:rPr>
      </w:pPr>
    </w:p>
    <w:p w:rsidR="001438B9" w:rsidRPr="001438B9" w:rsidRDefault="001438B9" w:rsidP="001438B9">
      <w:pPr>
        <w:pStyle w:val="PargrafodaLista"/>
        <w:numPr>
          <w:ilvl w:val="1"/>
          <w:numId w:val="20"/>
        </w:numPr>
        <w:jc w:val="both"/>
        <w:rPr>
          <w:rFonts w:ascii="Arial" w:hAnsi="Arial" w:cs="Arial"/>
          <w:color w:val="000000"/>
          <w:sz w:val="16"/>
          <w:szCs w:val="16"/>
        </w:rPr>
      </w:pPr>
      <w:r w:rsidRPr="001438B9">
        <w:rPr>
          <w:rFonts w:ascii="Arial" w:hAnsi="Arial" w:cs="Arial"/>
          <w:color w:val="000000"/>
          <w:sz w:val="16"/>
          <w:szCs w:val="16"/>
        </w:rPr>
        <w:tab/>
        <w:t>As sanções de natureza pecuniária serão diretamente descontadas de créditos que eventualmente detenha a CONTRATADA ou efetuada a sua cobrança na forma prevista em lei.</w:t>
      </w:r>
    </w:p>
    <w:p w:rsidR="001438B9" w:rsidRPr="001438B9" w:rsidRDefault="001438B9" w:rsidP="001438B9">
      <w:pPr>
        <w:pStyle w:val="PargrafodaLista"/>
        <w:ind w:left="360"/>
        <w:jc w:val="both"/>
        <w:rPr>
          <w:rFonts w:ascii="Arial" w:hAnsi="Arial" w:cs="Arial"/>
          <w:color w:val="000000"/>
          <w:sz w:val="16"/>
          <w:szCs w:val="16"/>
        </w:rPr>
      </w:pPr>
    </w:p>
    <w:p w:rsidR="001438B9" w:rsidRPr="001438B9" w:rsidRDefault="001438B9" w:rsidP="001438B9">
      <w:pPr>
        <w:pStyle w:val="PargrafodaLista"/>
        <w:numPr>
          <w:ilvl w:val="1"/>
          <w:numId w:val="20"/>
        </w:numPr>
        <w:jc w:val="both"/>
        <w:rPr>
          <w:rFonts w:ascii="Arial" w:hAnsi="Arial" w:cs="Arial"/>
          <w:color w:val="000000"/>
          <w:sz w:val="16"/>
          <w:szCs w:val="16"/>
        </w:rPr>
      </w:pPr>
      <w:r w:rsidRPr="001438B9">
        <w:rPr>
          <w:rFonts w:ascii="Arial" w:hAnsi="Arial" w:cs="Arial"/>
          <w:color w:val="000000"/>
          <w:sz w:val="16"/>
          <w:szCs w:val="16"/>
        </w:rPr>
        <w:tab/>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438B9" w:rsidRPr="001438B9" w:rsidRDefault="001438B9" w:rsidP="001438B9">
      <w:pPr>
        <w:pStyle w:val="PargrafodaLista"/>
        <w:ind w:left="360"/>
        <w:jc w:val="both"/>
        <w:rPr>
          <w:rFonts w:ascii="Arial" w:hAnsi="Arial" w:cs="Arial"/>
          <w:color w:val="000000"/>
          <w:sz w:val="16"/>
          <w:szCs w:val="16"/>
        </w:rPr>
      </w:pPr>
    </w:p>
    <w:p w:rsidR="001438B9" w:rsidRPr="001438B9" w:rsidRDefault="001438B9" w:rsidP="001438B9">
      <w:pPr>
        <w:pStyle w:val="PargrafodaLista"/>
        <w:numPr>
          <w:ilvl w:val="1"/>
          <w:numId w:val="20"/>
        </w:numPr>
        <w:jc w:val="both"/>
        <w:rPr>
          <w:rFonts w:ascii="Arial" w:hAnsi="Arial" w:cs="Arial"/>
          <w:color w:val="000000"/>
          <w:sz w:val="16"/>
          <w:szCs w:val="16"/>
        </w:rPr>
      </w:pPr>
      <w:r w:rsidRPr="001438B9">
        <w:rPr>
          <w:rFonts w:ascii="Arial" w:hAnsi="Arial" w:cs="Arial"/>
          <w:color w:val="000000"/>
          <w:sz w:val="16"/>
          <w:szCs w:val="16"/>
        </w:rPr>
        <w:tab/>
        <w:t>A autoridade competente, na aplicação das sanções, levará em consideração a gravidade da conduta do infrator, o caráter educativo da pena, bem como o dano causado à Administração, observado o princípio da proporcionalidade.</w:t>
      </w:r>
    </w:p>
    <w:p w:rsidR="001438B9" w:rsidRPr="001438B9" w:rsidRDefault="001438B9" w:rsidP="001438B9">
      <w:pPr>
        <w:pStyle w:val="PargrafodaLista"/>
        <w:ind w:left="360"/>
        <w:jc w:val="both"/>
        <w:rPr>
          <w:rFonts w:ascii="Arial" w:hAnsi="Arial" w:cs="Arial"/>
          <w:color w:val="000000"/>
          <w:sz w:val="16"/>
          <w:szCs w:val="16"/>
        </w:rPr>
      </w:pPr>
    </w:p>
    <w:p w:rsidR="001438B9" w:rsidRPr="001438B9" w:rsidRDefault="001438B9" w:rsidP="001438B9">
      <w:pPr>
        <w:pStyle w:val="PargrafodaLista"/>
        <w:numPr>
          <w:ilvl w:val="1"/>
          <w:numId w:val="20"/>
        </w:numPr>
        <w:jc w:val="both"/>
        <w:rPr>
          <w:rFonts w:ascii="Arial" w:hAnsi="Arial" w:cs="Arial"/>
          <w:color w:val="000000"/>
          <w:sz w:val="16"/>
          <w:szCs w:val="16"/>
        </w:rPr>
      </w:pPr>
      <w:r w:rsidRPr="001438B9">
        <w:rPr>
          <w:rFonts w:ascii="Arial" w:hAnsi="Arial" w:cs="Arial"/>
          <w:color w:val="000000"/>
          <w:sz w:val="16"/>
          <w:szCs w:val="16"/>
        </w:rPr>
        <w:tab/>
        <w:t>A sanção será obrigatoriamente registrada no Sistema de Cadastramento Unificado de Fornecedores – SICAF, bem como em sistemas Estaduais.</w:t>
      </w:r>
    </w:p>
    <w:p w:rsidR="001438B9" w:rsidRPr="001438B9" w:rsidRDefault="001438B9" w:rsidP="001438B9">
      <w:pPr>
        <w:pStyle w:val="PargrafodaLista"/>
        <w:ind w:left="360"/>
        <w:jc w:val="both"/>
        <w:rPr>
          <w:rFonts w:ascii="Arial" w:hAnsi="Arial" w:cs="Arial"/>
          <w:color w:val="000000"/>
          <w:sz w:val="16"/>
          <w:szCs w:val="16"/>
        </w:rPr>
      </w:pPr>
    </w:p>
    <w:p w:rsidR="001438B9" w:rsidRDefault="001438B9" w:rsidP="001438B9">
      <w:pPr>
        <w:pStyle w:val="PargrafodaLista"/>
        <w:numPr>
          <w:ilvl w:val="1"/>
          <w:numId w:val="20"/>
        </w:numPr>
        <w:jc w:val="both"/>
        <w:rPr>
          <w:rFonts w:ascii="Arial" w:hAnsi="Arial" w:cs="Arial"/>
          <w:color w:val="000000"/>
          <w:sz w:val="16"/>
          <w:szCs w:val="16"/>
        </w:rPr>
      </w:pPr>
      <w:r w:rsidRPr="001438B9">
        <w:rPr>
          <w:rFonts w:ascii="Arial" w:hAnsi="Arial" w:cs="Arial"/>
          <w:color w:val="000000"/>
          <w:sz w:val="16"/>
          <w:szCs w:val="16"/>
        </w:rPr>
        <w:tab/>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DC3A58" w:rsidRPr="00DC3A58" w:rsidRDefault="00DC3A58" w:rsidP="00DC3A58">
      <w:pPr>
        <w:pStyle w:val="PargrafodaLista"/>
        <w:rPr>
          <w:rFonts w:ascii="Arial" w:hAnsi="Arial" w:cs="Arial"/>
          <w:color w:val="000000"/>
          <w:sz w:val="16"/>
          <w:szCs w:val="16"/>
        </w:rPr>
      </w:pPr>
    </w:p>
    <w:p w:rsidR="00DC3A58" w:rsidRPr="001438B9" w:rsidRDefault="00DC3A58" w:rsidP="00DC3A58">
      <w:pPr>
        <w:pStyle w:val="PargrafodaLista"/>
        <w:ind w:left="360"/>
        <w:jc w:val="both"/>
        <w:rPr>
          <w:rFonts w:ascii="Arial" w:hAnsi="Arial" w:cs="Arial"/>
          <w:color w:val="000000"/>
          <w:sz w:val="16"/>
          <w:szCs w:val="16"/>
        </w:rPr>
      </w:pPr>
    </w:p>
    <w:p w:rsidR="001438B9" w:rsidRPr="001438B9" w:rsidRDefault="001438B9" w:rsidP="001438B9">
      <w:pPr>
        <w:spacing w:line="360" w:lineRule="auto"/>
        <w:ind w:left="2268"/>
        <w:jc w:val="both"/>
        <w:rPr>
          <w:rFonts w:ascii="Arial" w:hAnsi="Arial" w:cs="Arial"/>
          <w:color w:val="000000"/>
          <w:sz w:val="16"/>
          <w:szCs w:val="16"/>
        </w:rPr>
      </w:pPr>
      <w:r w:rsidRPr="001438B9">
        <w:rPr>
          <w:rFonts w:ascii="Arial" w:hAnsi="Arial" w:cs="Arial"/>
          <w:color w:val="000000"/>
          <w:sz w:val="16"/>
          <w:szCs w:val="16"/>
        </w:rPr>
        <w:t>a) Tenham sofrido condenações definitivas por praticarem, por meio dolosos, fraude fiscal no recolhimento de tributos.</w:t>
      </w:r>
    </w:p>
    <w:p w:rsidR="001438B9" w:rsidRPr="001438B9" w:rsidRDefault="001438B9" w:rsidP="001438B9">
      <w:pPr>
        <w:spacing w:line="360" w:lineRule="auto"/>
        <w:ind w:left="2268"/>
        <w:jc w:val="both"/>
        <w:rPr>
          <w:rFonts w:ascii="Arial" w:hAnsi="Arial" w:cs="Arial"/>
          <w:color w:val="000000"/>
          <w:sz w:val="16"/>
          <w:szCs w:val="16"/>
        </w:rPr>
      </w:pPr>
      <w:r w:rsidRPr="001438B9">
        <w:rPr>
          <w:rFonts w:ascii="Arial" w:hAnsi="Arial" w:cs="Arial"/>
          <w:color w:val="000000"/>
          <w:sz w:val="16"/>
          <w:szCs w:val="16"/>
        </w:rPr>
        <w:t>b) Tenham praticado atos ilícitos visando a frustrar os objetivos da licitação.</w:t>
      </w:r>
    </w:p>
    <w:p w:rsidR="001438B9" w:rsidRPr="001438B9" w:rsidRDefault="001438B9" w:rsidP="001438B9">
      <w:pPr>
        <w:spacing w:line="360" w:lineRule="auto"/>
        <w:ind w:left="2268"/>
        <w:jc w:val="both"/>
        <w:rPr>
          <w:rFonts w:ascii="Arial" w:hAnsi="Arial" w:cs="Arial"/>
          <w:color w:val="000000"/>
          <w:sz w:val="16"/>
          <w:szCs w:val="16"/>
        </w:rPr>
      </w:pPr>
      <w:r w:rsidRPr="001438B9">
        <w:rPr>
          <w:rFonts w:ascii="Arial" w:hAnsi="Arial" w:cs="Arial"/>
          <w:color w:val="000000"/>
          <w:sz w:val="16"/>
          <w:szCs w:val="16"/>
        </w:rPr>
        <w:t>c) Demonstrem não possuir idoneidade para contratar com a Administração em virtude de atos ilícitos praticados.</w:t>
      </w:r>
    </w:p>
    <w:p w:rsidR="0011705A" w:rsidRPr="00B87D9E" w:rsidRDefault="0011705A" w:rsidP="009D2314">
      <w:pPr>
        <w:jc w:val="both"/>
        <w:rPr>
          <w:rFonts w:ascii="Arial" w:hAnsi="Arial" w:cs="Arial"/>
          <w:sz w:val="16"/>
          <w:szCs w:val="16"/>
        </w:rPr>
      </w:pPr>
    </w:p>
    <w:p w:rsidR="009D2314" w:rsidRPr="00B87D9E" w:rsidRDefault="009D2314" w:rsidP="0011705A">
      <w:pPr>
        <w:pStyle w:val="PargrafodaLista"/>
        <w:numPr>
          <w:ilvl w:val="0"/>
          <w:numId w:val="8"/>
        </w:numPr>
        <w:ind w:left="0" w:firstLine="0"/>
        <w:jc w:val="both"/>
        <w:rPr>
          <w:rFonts w:ascii="Arial" w:hAnsi="Arial" w:cs="Arial"/>
          <w:b/>
          <w:bCs/>
          <w:color w:val="000000"/>
          <w:sz w:val="16"/>
          <w:szCs w:val="16"/>
        </w:rPr>
      </w:pPr>
      <w:r w:rsidRPr="00B87D9E">
        <w:rPr>
          <w:rFonts w:ascii="Arial" w:hAnsi="Arial" w:cs="Arial"/>
          <w:b/>
          <w:bCs/>
          <w:color w:val="000000"/>
          <w:sz w:val="16"/>
          <w:szCs w:val="16"/>
        </w:rPr>
        <w:t xml:space="preserve"> </w:t>
      </w:r>
      <w:r w:rsidR="00A41308" w:rsidRPr="00B87D9E">
        <w:rPr>
          <w:rFonts w:ascii="Arial" w:hAnsi="Arial" w:cs="Arial"/>
          <w:b/>
          <w:bCs/>
          <w:color w:val="000000"/>
          <w:sz w:val="16"/>
          <w:szCs w:val="16"/>
        </w:rPr>
        <w:t xml:space="preserve">DA </w:t>
      </w:r>
      <w:r w:rsidRPr="00B87D9E">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8353D1">
      <w:pPr>
        <w:tabs>
          <w:tab w:val="left" w:pos="1134"/>
        </w:tabs>
        <w:jc w:val="both"/>
        <w:rPr>
          <w:rFonts w:ascii="Arial" w:hAnsi="Arial" w:cs="Arial"/>
          <w:b/>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14.1. A marca/laboratório do item registrado poderá ser alterada, desde que seja por outra marca compatível em qualidade com </w:t>
      </w:r>
      <w:proofErr w:type="gramStart"/>
      <w:r w:rsidRPr="00A74766">
        <w:rPr>
          <w:rFonts w:ascii="Arial" w:hAnsi="Arial" w:cs="Arial"/>
          <w:sz w:val="16"/>
          <w:szCs w:val="16"/>
        </w:rPr>
        <w:t>a inicialmente ofertada, de acordo com a decisão nº 142/12</w:t>
      </w:r>
      <w:proofErr w:type="gramEnd"/>
      <w:r w:rsidRPr="00A74766">
        <w:rPr>
          <w:rFonts w:ascii="Arial" w:hAnsi="Arial" w:cs="Arial"/>
          <w:sz w:val="16"/>
          <w:szCs w:val="16"/>
        </w:rPr>
        <w:t>/GCPCN.</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15</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8.666/93, demais normas complementares e disposições desta </w:t>
      </w:r>
      <w:proofErr w:type="gramStart"/>
      <w:r w:rsidR="009D2314" w:rsidRPr="008353D1">
        <w:rPr>
          <w:rFonts w:ascii="Arial" w:hAnsi="Arial" w:cs="Arial"/>
          <w:color w:val="000000"/>
          <w:sz w:val="16"/>
          <w:szCs w:val="16"/>
        </w:rPr>
        <w:t>Ata</w:t>
      </w:r>
      <w:proofErr w:type="gramEnd"/>
      <w:r w:rsidR="009D2314" w:rsidRPr="008353D1">
        <w:rPr>
          <w:rFonts w:ascii="Arial" w:hAnsi="Arial" w:cs="Arial"/>
          <w:color w:val="000000"/>
          <w:sz w:val="16"/>
          <w:szCs w:val="16"/>
        </w:rPr>
        <w:t xml:space="preserve">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DC3A58" w:rsidRPr="00CF6290" w:rsidRDefault="00DC3A58" w:rsidP="00526790">
      <w:pPr>
        <w:ind w:right="47"/>
        <w:jc w:val="both"/>
        <w:rPr>
          <w:rFonts w:ascii="Arial" w:hAnsi="Arial" w:cs="Arial"/>
          <w:b/>
          <w:bCs/>
          <w:color w:val="000000"/>
          <w:sz w:val="10"/>
          <w:szCs w:val="10"/>
        </w:rPr>
      </w:pPr>
    </w:p>
    <w:p w:rsidR="00C50BF7" w:rsidRPr="00DC3A58" w:rsidRDefault="00DC3A58" w:rsidP="00526790">
      <w:pPr>
        <w:ind w:right="47"/>
        <w:jc w:val="both"/>
        <w:rPr>
          <w:rFonts w:ascii="Arial" w:hAnsi="Arial" w:cs="Arial"/>
          <w:b/>
          <w:bCs/>
          <w:color w:val="000000"/>
          <w:sz w:val="10"/>
          <w:szCs w:val="10"/>
        </w:rPr>
      </w:pPr>
      <w:r w:rsidRPr="00DC3A58">
        <w:rPr>
          <w:rFonts w:ascii="Arial" w:hAnsi="Arial" w:cs="Arial"/>
          <w:b/>
          <w:bCs/>
          <w:color w:val="000000"/>
          <w:sz w:val="10"/>
          <w:szCs w:val="10"/>
        </w:rPr>
        <w:t>AE</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38B9" w:rsidRDefault="001438B9">
      <w:r>
        <w:separator/>
      </w:r>
    </w:p>
  </w:endnote>
  <w:endnote w:type="continuationSeparator" w:id="1">
    <w:p w:rsidR="001438B9" w:rsidRDefault="001438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38B9" w:rsidRDefault="001438B9">
      <w:r>
        <w:separator/>
      </w:r>
    </w:p>
  </w:footnote>
  <w:footnote w:type="continuationSeparator" w:id="1">
    <w:p w:rsidR="001438B9" w:rsidRDefault="001438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8B9" w:rsidRDefault="001438B9">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5"/>
  </w:num>
  <w:num w:numId="2">
    <w:abstractNumId w:val="11"/>
  </w:num>
  <w:num w:numId="3">
    <w:abstractNumId w:val="6"/>
  </w:num>
  <w:num w:numId="4">
    <w:abstractNumId w:val="5"/>
  </w:num>
  <w:num w:numId="5">
    <w:abstractNumId w:val="13"/>
  </w:num>
  <w:num w:numId="6">
    <w:abstractNumId w:val="12"/>
  </w:num>
  <w:num w:numId="7">
    <w:abstractNumId w:val="18"/>
  </w:num>
  <w:num w:numId="8">
    <w:abstractNumId w:val="9"/>
  </w:num>
  <w:num w:numId="9">
    <w:abstractNumId w:val="10"/>
  </w:num>
  <w:num w:numId="10">
    <w:abstractNumId w:val="4"/>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6"/>
  </w:num>
  <w:num w:numId="14">
    <w:abstractNumId w:val="20"/>
  </w:num>
  <w:num w:numId="15">
    <w:abstractNumId w:val="1"/>
  </w:num>
  <w:num w:numId="16">
    <w:abstractNumId w:val="2"/>
  </w:num>
  <w:num w:numId="17">
    <w:abstractNumId w:val="17"/>
  </w:num>
  <w:num w:numId="18">
    <w:abstractNumId w:val="8"/>
  </w:num>
  <w:num w:numId="19">
    <w:abstractNumId w:val="3"/>
  </w:num>
  <w:num w:numId="20">
    <w:abstractNumId w:val="1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346F"/>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F43180-C461-4D2A-B202-789D2D58B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3729</Words>
  <Characters>20870</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24550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3</cp:revision>
  <cp:lastPrinted>2017-03-23T12:59:00Z</cp:lastPrinted>
  <dcterms:created xsi:type="dcterms:W3CDTF">2017-04-20T13:06:00Z</dcterms:created>
  <dcterms:modified xsi:type="dcterms:W3CDTF">2017-04-20T13:18:00Z</dcterms:modified>
</cp:coreProperties>
</file>