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91834">
        <w:rPr>
          <w:rFonts w:ascii="Arial" w:hAnsi="Arial" w:cs="Arial"/>
          <w:b/>
          <w:sz w:val="16"/>
          <w:szCs w:val="16"/>
        </w:rPr>
        <w:t>067</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001/2017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191834">
        <w:rPr>
          <w:rFonts w:ascii="Arial" w:hAnsi="Arial" w:cs="Arial"/>
          <w:b/>
          <w:noProof/>
          <w:sz w:val="16"/>
          <w:szCs w:val="16"/>
        </w:rPr>
        <w:t>02798-01/2016</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191834">
        <w:rPr>
          <w:rFonts w:ascii="Arial" w:hAnsi="Arial" w:cs="Arial"/>
          <w:sz w:val="16"/>
          <w:szCs w:val="16"/>
        </w:rPr>
        <w:t xml:space="preserve">para </w:t>
      </w:r>
      <w:r w:rsidR="00191834" w:rsidRPr="00191834">
        <w:rPr>
          <w:rFonts w:ascii="Arial" w:hAnsi="Arial" w:cs="Arial"/>
          <w:sz w:val="16"/>
          <w:szCs w:val="16"/>
        </w:rPr>
        <w:t xml:space="preserve">futuras e eventuais aquisições de Água Potável/Mineral em garrafões plásticos de 20 litros e 500 ml sem gás, para atender às necessidades da Coordenadoria de Ações Urbanísticas – CAU/DER/RO, Usina CBUQ de Porto Velho, Almoxarifado, Patrimônio e Sede deste </w:t>
      </w:r>
      <w:proofErr w:type="gramStart"/>
      <w:r w:rsidR="00191834" w:rsidRPr="00191834">
        <w:rPr>
          <w:rFonts w:ascii="Arial" w:hAnsi="Arial" w:cs="Arial"/>
          <w:sz w:val="16"/>
          <w:szCs w:val="16"/>
        </w:rPr>
        <w:t>DER</w:t>
      </w:r>
      <w:proofErr w:type="gramEnd"/>
      <w:r w:rsidR="00191834" w:rsidRPr="00191834">
        <w:rPr>
          <w:rFonts w:ascii="Arial" w:hAnsi="Arial" w:cs="Arial"/>
          <w:sz w:val="16"/>
          <w:szCs w:val="16"/>
        </w:rPr>
        <w:t>/RO,</w:t>
      </w:r>
      <w:r w:rsidR="002F3912" w:rsidRPr="002F3912">
        <w:rPr>
          <w:rFonts w:ascii="Arial" w:hAnsi="Arial" w:cs="Arial"/>
          <w:color w:val="000000"/>
          <w:sz w:val="16"/>
          <w:szCs w:val="16"/>
        </w:rPr>
        <w:t xml:space="preserve"> </w:t>
      </w:r>
      <w:r w:rsidR="00191834">
        <w:rPr>
          <w:rFonts w:ascii="Arial" w:hAnsi="Arial" w:cs="Arial"/>
          <w:color w:val="000000"/>
          <w:sz w:val="16"/>
          <w:szCs w:val="16"/>
        </w:rPr>
        <w:t xml:space="preserve">a pedido </w:t>
      </w:r>
      <w:r w:rsidR="002F3912" w:rsidRPr="002F3912">
        <w:rPr>
          <w:rFonts w:ascii="Arial" w:hAnsi="Arial" w:cs="Arial"/>
          <w:color w:val="000000"/>
          <w:sz w:val="16"/>
          <w:szCs w:val="16"/>
        </w:rPr>
        <w:t xml:space="preserve">do </w:t>
      </w:r>
      <w:r w:rsidR="00891C60" w:rsidRPr="002F3912">
        <w:rPr>
          <w:rFonts w:ascii="Arial" w:hAnsi="Arial" w:cs="Arial"/>
          <w:color w:val="000000"/>
          <w:sz w:val="16"/>
          <w:szCs w:val="16"/>
        </w:rPr>
        <w:t xml:space="preserve">Departamento </w:t>
      </w:r>
      <w:r w:rsidR="00D9528D" w:rsidRPr="002F3912">
        <w:rPr>
          <w:rFonts w:ascii="Arial" w:hAnsi="Arial" w:cs="Arial"/>
          <w:color w:val="000000"/>
          <w:sz w:val="16"/>
          <w:szCs w:val="16"/>
        </w:rPr>
        <w:t>d</w:t>
      </w:r>
      <w:r w:rsidR="00891C60" w:rsidRPr="002F3912">
        <w:rPr>
          <w:rFonts w:ascii="Arial" w:hAnsi="Arial" w:cs="Arial"/>
          <w:color w:val="000000"/>
          <w:sz w:val="16"/>
          <w:szCs w:val="16"/>
        </w:rPr>
        <w:t>e Estra</w:t>
      </w:r>
      <w:r w:rsidR="00D9528D" w:rsidRPr="002F3912">
        <w:rPr>
          <w:rFonts w:ascii="Arial" w:hAnsi="Arial" w:cs="Arial"/>
          <w:color w:val="000000"/>
          <w:sz w:val="16"/>
          <w:szCs w:val="16"/>
        </w:rPr>
        <w:t>das d</w:t>
      </w:r>
      <w:r w:rsidR="00891C60" w:rsidRPr="002F3912">
        <w:rPr>
          <w:rFonts w:ascii="Arial" w:hAnsi="Arial" w:cs="Arial"/>
          <w:color w:val="000000"/>
          <w:sz w:val="16"/>
          <w:szCs w:val="16"/>
        </w:rPr>
        <w:t>e Rodagem, Infraestrutura e Serviços Públicos – DER,</w:t>
      </w:r>
      <w:r w:rsidR="001D7CAD" w:rsidRPr="002F3912">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191834" w:rsidRPr="00191834">
        <w:rPr>
          <w:rFonts w:ascii="Arial" w:hAnsi="Arial" w:cs="Arial"/>
          <w:sz w:val="16"/>
          <w:szCs w:val="16"/>
        </w:rPr>
        <w:t xml:space="preserve">para futuras e eventuais aquisições de Água Potável/Mineral em garrafões plásticos de 20 litros e 500 ml sem gás, para atender às necessidades da Coordenadoria de Ações Urbanísticas – CAU/DER/RO, Usina CBUQ de Porto Velho, Almoxarifado, Patrimônio e Sede deste </w:t>
      </w:r>
      <w:proofErr w:type="gramStart"/>
      <w:r w:rsidR="00191834" w:rsidRPr="00191834">
        <w:rPr>
          <w:rFonts w:ascii="Arial" w:hAnsi="Arial" w:cs="Arial"/>
          <w:sz w:val="16"/>
          <w:szCs w:val="16"/>
        </w:rPr>
        <w:t>DER</w:t>
      </w:r>
      <w:proofErr w:type="gramEnd"/>
      <w:r w:rsidR="00191834" w:rsidRPr="00191834">
        <w:rPr>
          <w:rFonts w:ascii="Arial" w:hAnsi="Arial" w:cs="Arial"/>
          <w:sz w:val="16"/>
          <w:szCs w:val="16"/>
        </w:rPr>
        <w:t>/RO,</w:t>
      </w:r>
      <w:r w:rsidR="00191834" w:rsidRPr="002F3912">
        <w:rPr>
          <w:rFonts w:ascii="Arial" w:hAnsi="Arial" w:cs="Arial"/>
          <w:color w:val="000000"/>
          <w:sz w:val="16"/>
          <w:szCs w:val="16"/>
        </w:rPr>
        <w:t xml:space="preserve"> </w:t>
      </w:r>
      <w:r w:rsidR="00191834">
        <w:rPr>
          <w:rFonts w:ascii="Arial" w:hAnsi="Arial" w:cs="Arial"/>
          <w:color w:val="000000"/>
          <w:sz w:val="16"/>
          <w:szCs w:val="16"/>
        </w:rPr>
        <w:t xml:space="preserve">a pedido </w:t>
      </w:r>
      <w:r w:rsidR="002F3912" w:rsidRPr="002F3912">
        <w:rPr>
          <w:rFonts w:ascii="Arial" w:hAnsi="Arial" w:cs="Arial"/>
          <w:color w:val="000000"/>
          <w:sz w:val="16"/>
          <w:szCs w:val="16"/>
        </w:rPr>
        <w:t>do Departamento de Estradas de Rodagem, Infraestrutura e Serviços Públicos – DER</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89483D" w:rsidRDefault="0011594B" w:rsidP="0011594B">
      <w:pPr>
        <w:pStyle w:val="Corpodetexto3"/>
        <w:numPr>
          <w:ilvl w:val="1"/>
          <w:numId w:val="2"/>
        </w:numPr>
        <w:tabs>
          <w:tab w:val="left" w:pos="900"/>
        </w:tabs>
        <w:ind w:right="47"/>
        <w:rPr>
          <w:rFonts w:ascii="Arial" w:hAnsi="Arial" w:cs="Arial"/>
          <w:sz w:val="16"/>
          <w:szCs w:val="16"/>
        </w:rPr>
      </w:pPr>
      <w:r w:rsidRPr="0089483D">
        <w:rPr>
          <w:rFonts w:ascii="Arial" w:hAnsi="Arial" w:cs="Arial"/>
          <w:b/>
          <w:sz w:val="16"/>
          <w:szCs w:val="16"/>
        </w:rPr>
        <w:t>PRAZO DE ENTREGA:</w:t>
      </w:r>
      <w:r w:rsidRPr="0089483D">
        <w:rPr>
          <w:rFonts w:ascii="Arial" w:hAnsi="Arial" w:cs="Arial"/>
          <w:sz w:val="16"/>
          <w:szCs w:val="16"/>
        </w:rPr>
        <w:t xml:space="preserve"> </w:t>
      </w:r>
      <w:r w:rsidR="00191834" w:rsidRPr="0089483D">
        <w:rPr>
          <w:rFonts w:ascii="Arial" w:hAnsi="Arial" w:cs="Arial"/>
          <w:sz w:val="16"/>
          <w:szCs w:val="16"/>
        </w:rPr>
        <w:t>A entrega se dará em até 24 (vinte e quatro) horas, contados a partir do recebimento pela Contratada da Ordem de Fornecimento ou da nota de Empenho, o que ocorrer primeiro.</w:t>
      </w:r>
    </w:p>
    <w:p w:rsidR="002F3912" w:rsidRPr="0089483D" w:rsidRDefault="002F3912" w:rsidP="00262622">
      <w:pPr>
        <w:pStyle w:val="Corpodetexto3"/>
        <w:tabs>
          <w:tab w:val="left" w:pos="900"/>
        </w:tabs>
        <w:ind w:right="47"/>
        <w:rPr>
          <w:rFonts w:ascii="Arial" w:hAnsi="Arial" w:cs="Arial"/>
          <w:sz w:val="16"/>
          <w:szCs w:val="16"/>
        </w:rPr>
      </w:pPr>
    </w:p>
    <w:p w:rsidR="00946A1E" w:rsidRPr="0089483D" w:rsidRDefault="0011594B" w:rsidP="00191834">
      <w:pPr>
        <w:pStyle w:val="Corpodetexto3"/>
        <w:numPr>
          <w:ilvl w:val="1"/>
          <w:numId w:val="2"/>
        </w:numPr>
        <w:tabs>
          <w:tab w:val="left" w:pos="900"/>
        </w:tabs>
        <w:ind w:right="47"/>
        <w:rPr>
          <w:rFonts w:ascii="Arial" w:hAnsi="Arial" w:cs="Arial"/>
          <w:b/>
          <w:bCs/>
          <w:sz w:val="16"/>
          <w:szCs w:val="16"/>
        </w:rPr>
      </w:pPr>
      <w:r w:rsidRPr="0089483D">
        <w:rPr>
          <w:rFonts w:ascii="Arial" w:hAnsi="Arial" w:cs="Arial"/>
          <w:b/>
          <w:sz w:val="16"/>
          <w:szCs w:val="16"/>
        </w:rPr>
        <w:t>LOCAL DE ENTREGA/HORÁRIO:</w:t>
      </w:r>
      <w:r w:rsidRPr="0089483D">
        <w:rPr>
          <w:rFonts w:ascii="Arial" w:hAnsi="Arial" w:cs="Arial"/>
          <w:sz w:val="16"/>
          <w:szCs w:val="16"/>
        </w:rPr>
        <w:t xml:space="preserve"> </w:t>
      </w:r>
      <w:r w:rsidR="00191834" w:rsidRPr="0089483D">
        <w:rPr>
          <w:rFonts w:ascii="Arial" w:hAnsi="Arial" w:cs="Arial"/>
          <w:sz w:val="16"/>
          <w:szCs w:val="16"/>
        </w:rPr>
        <w:t xml:space="preserve">A entrega se dará no </w:t>
      </w:r>
      <w:r w:rsidR="00191834" w:rsidRPr="0089483D">
        <w:rPr>
          <w:rFonts w:ascii="Arial" w:hAnsi="Arial" w:cs="Arial"/>
          <w:kern w:val="36"/>
          <w:sz w:val="16"/>
          <w:szCs w:val="16"/>
        </w:rPr>
        <w:t xml:space="preserve">ALMOXARIFADO DO DER-RO, sito a Av. Rio Madeira, 3056 - Bairro: </w:t>
      </w:r>
      <w:proofErr w:type="spellStart"/>
      <w:r w:rsidR="00191834" w:rsidRPr="0089483D">
        <w:rPr>
          <w:rFonts w:ascii="Arial" w:hAnsi="Arial" w:cs="Arial"/>
          <w:kern w:val="36"/>
          <w:sz w:val="16"/>
          <w:szCs w:val="16"/>
        </w:rPr>
        <w:t>Flodoaldo</w:t>
      </w:r>
      <w:proofErr w:type="spellEnd"/>
      <w:r w:rsidR="00191834" w:rsidRPr="0089483D">
        <w:rPr>
          <w:rFonts w:ascii="Arial" w:hAnsi="Arial" w:cs="Arial"/>
          <w:kern w:val="36"/>
          <w:sz w:val="16"/>
          <w:szCs w:val="16"/>
        </w:rPr>
        <w:t xml:space="preserve"> Pontes Pinto – CEP: 76.820-408 – Porto Velho – RO. Horário: 08h00min as 13h00min de segunda a sexta feira, a entrega será parcial de acordo com as necessidades do DER.</w:t>
      </w:r>
    </w:p>
    <w:p w:rsidR="00191834" w:rsidRPr="0089483D" w:rsidRDefault="00191834" w:rsidP="00191834">
      <w:pPr>
        <w:pStyle w:val="PargrafodaLista"/>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lastRenderedPageBreak/>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45AD" w:rsidRPr="003F6E2B"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3F6E2B">
        <w:rPr>
          <w:rFonts w:ascii="Arial" w:hAnsi="Arial" w:cs="Arial"/>
          <w:b/>
          <w:snapToGrid w:val="0"/>
          <w:sz w:val="16"/>
          <w:szCs w:val="16"/>
        </w:rPr>
        <w:t>DAS SANÇÕES:</w:t>
      </w:r>
    </w:p>
    <w:p w:rsidR="00946A1E" w:rsidRPr="0089483D" w:rsidRDefault="00946A1E" w:rsidP="00946A1E">
      <w:pPr>
        <w:pStyle w:val="Cabealho"/>
        <w:tabs>
          <w:tab w:val="right" w:pos="709"/>
        </w:tabs>
        <w:spacing w:line="276" w:lineRule="auto"/>
        <w:ind w:left="360"/>
        <w:jc w:val="both"/>
        <w:rPr>
          <w:rFonts w:ascii="Arial" w:hAnsi="Arial" w:cs="Arial"/>
          <w:snapToGrid w:val="0"/>
          <w:sz w:val="16"/>
          <w:szCs w:val="16"/>
        </w:rPr>
      </w:pPr>
    </w:p>
    <w:p w:rsidR="00191834" w:rsidRPr="0089483D" w:rsidRDefault="0089483D" w:rsidP="00191834">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 xml:space="preserve">.1. Pela Inexecução total ou parcial do objeto, o DER-RO </w:t>
      </w:r>
      <w:proofErr w:type="gramStart"/>
      <w:r w:rsidR="00191834" w:rsidRPr="0089483D">
        <w:rPr>
          <w:rFonts w:ascii="Arial" w:hAnsi="Arial" w:cs="Arial"/>
          <w:bCs/>
          <w:color w:val="000000"/>
          <w:sz w:val="16"/>
          <w:szCs w:val="16"/>
        </w:rPr>
        <w:t>poderá,</w:t>
      </w:r>
      <w:proofErr w:type="gramEnd"/>
      <w:r w:rsidR="00191834" w:rsidRPr="0089483D">
        <w:rPr>
          <w:rFonts w:ascii="Arial" w:hAnsi="Arial" w:cs="Arial"/>
          <w:bCs/>
          <w:color w:val="000000"/>
          <w:sz w:val="16"/>
          <w:szCs w:val="16"/>
        </w:rPr>
        <w:t xml:space="preserve"> garantida a prévia defesa, aplicar à empresa contratada as seguintes sanções:</w:t>
      </w:r>
    </w:p>
    <w:p w:rsidR="0089483D" w:rsidRDefault="0089483D" w:rsidP="00191834">
      <w:pPr>
        <w:ind w:left="567"/>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.1.2.1. A multa moratória será aplicada a partir do 1º dia útil da inadimplência, contado da data definida para o regular cumprimento da obrigação;</w:t>
      </w:r>
    </w:p>
    <w:p w:rsidR="00191834" w:rsidRPr="0089483D" w:rsidRDefault="00191834" w:rsidP="00191834">
      <w:pPr>
        <w:ind w:left="720"/>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.1.5. Multa de 10% (dez por cento) sobre o valor do produto não entregue, no caso de inexecução parcial, sem embargo de indenização dos prejuízos porventura causados ao DER/RO pela execução parcial do contrato;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.1.6. Multa de 10% (dez por cento) sobre o valor total do contrato, no caso de sua inexecução total, sem embargo de indenização dos prejuízos porventura causados ao DER/RO;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.1.7. Multa de 10% (dez por cento) sobre o valor do produto não entregue, pela recusa injustificada na substituição de material defeituoso no prazo estabelecido neste Termo de Referência;</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 xml:space="preserve">.2. A multa prevista nos subitens </w:t>
      </w:r>
      <w:r>
        <w:rPr>
          <w:rFonts w:ascii="Arial" w:hAnsi="Arial" w:cs="Arial"/>
          <w:bCs/>
          <w:color w:val="000000"/>
          <w:sz w:val="16"/>
          <w:szCs w:val="16"/>
        </w:rPr>
        <w:t>9</w:t>
      </w:r>
      <w:r w:rsidR="00191834" w:rsidRPr="0089483D">
        <w:rPr>
          <w:rFonts w:ascii="Arial" w:hAnsi="Arial" w:cs="Arial"/>
          <w:bCs/>
          <w:color w:val="000000"/>
          <w:sz w:val="16"/>
          <w:szCs w:val="16"/>
        </w:rPr>
        <w:t xml:space="preserve">.1.2, </w:t>
      </w:r>
      <w:r>
        <w:rPr>
          <w:rFonts w:ascii="Arial" w:hAnsi="Arial" w:cs="Arial"/>
          <w:bCs/>
          <w:color w:val="000000"/>
          <w:sz w:val="16"/>
          <w:szCs w:val="16"/>
        </w:rPr>
        <w:t>9</w:t>
      </w:r>
      <w:r w:rsidR="00191834" w:rsidRPr="0089483D">
        <w:rPr>
          <w:rFonts w:ascii="Arial" w:hAnsi="Arial" w:cs="Arial"/>
          <w:bCs/>
          <w:color w:val="000000"/>
          <w:sz w:val="16"/>
          <w:szCs w:val="16"/>
        </w:rPr>
        <w:t xml:space="preserve">.1.3 e </w:t>
      </w:r>
      <w:r>
        <w:rPr>
          <w:rFonts w:ascii="Arial" w:hAnsi="Arial" w:cs="Arial"/>
          <w:bCs/>
          <w:color w:val="000000"/>
          <w:sz w:val="16"/>
          <w:szCs w:val="16"/>
        </w:rPr>
        <w:t>9</w:t>
      </w:r>
      <w:r w:rsidR="00191834" w:rsidRPr="0089483D">
        <w:rPr>
          <w:rFonts w:ascii="Arial" w:hAnsi="Arial" w:cs="Arial"/>
          <w:bCs/>
          <w:color w:val="000000"/>
          <w:sz w:val="16"/>
          <w:szCs w:val="16"/>
        </w:rPr>
        <w:t xml:space="preserve">.1.8 </w:t>
      </w:r>
      <w:proofErr w:type="gramStart"/>
      <w:r w:rsidR="00191834" w:rsidRPr="0089483D">
        <w:rPr>
          <w:rFonts w:ascii="Arial" w:hAnsi="Arial" w:cs="Arial"/>
          <w:bCs/>
          <w:color w:val="000000"/>
          <w:sz w:val="16"/>
          <w:szCs w:val="16"/>
        </w:rPr>
        <w:t>poderão ser aplicadas</w:t>
      </w:r>
      <w:proofErr w:type="gramEnd"/>
      <w:r w:rsidR="00191834" w:rsidRPr="0089483D">
        <w:rPr>
          <w:rFonts w:ascii="Arial" w:hAnsi="Arial" w:cs="Arial"/>
          <w:bCs/>
          <w:color w:val="000000"/>
          <w:sz w:val="16"/>
          <w:szCs w:val="16"/>
        </w:rPr>
        <w:t xml:space="preserve"> isoladas ou em conjunto com as previstas nos subitens </w:t>
      </w:r>
      <w:r>
        <w:rPr>
          <w:rFonts w:ascii="Arial" w:hAnsi="Arial" w:cs="Arial"/>
          <w:bCs/>
          <w:color w:val="000000"/>
          <w:sz w:val="16"/>
          <w:szCs w:val="16"/>
        </w:rPr>
        <w:t>9</w:t>
      </w:r>
      <w:r w:rsidR="00191834" w:rsidRPr="0089483D">
        <w:rPr>
          <w:rFonts w:ascii="Arial" w:hAnsi="Arial" w:cs="Arial"/>
          <w:bCs/>
          <w:color w:val="000000"/>
          <w:sz w:val="16"/>
          <w:szCs w:val="16"/>
        </w:rPr>
        <w:t xml:space="preserve">.1.5 e </w:t>
      </w:r>
      <w:r>
        <w:rPr>
          <w:rFonts w:ascii="Arial" w:hAnsi="Arial" w:cs="Arial"/>
          <w:bCs/>
          <w:color w:val="000000"/>
          <w:sz w:val="16"/>
          <w:szCs w:val="16"/>
        </w:rPr>
        <w:t>9</w:t>
      </w:r>
      <w:r w:rsidR="00191834" w:rsidRPr="0089483D">
        <w:rPr>
          <w:rFonts w:ascii="Arial" w:hAnsi="Arial" w:cs="Arial"/>
          <w:bCs/>
          <w:color w:val="000000"/>
          <w:sz w:val="16"/>
          <w:szCs w:val="16"/>
        </w:rPr>
        <w:t>.1.6;</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191834" w:rsidRPr="0089483D" w:rsidRDefault="00191834" w:rsidP="0089483D">
      <w:pPr>
        <w:jc w:val="both"/>
        <w:rPr>
          <w:rFonts w:ascii="Arial" w:hAnsi="Arial" w:cs="Arial"/>
          <w:bCs/>
          <w:color w:val="000000"/>
          <w:sz w:val="16"/>
          <w:szCs w:val="16"/>
        </w:rPr>
      </w:pPr>
    </w:p>
    <w:p w:rsidR="00191834" w:rsidRPr="0089483D"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00191834" w:rsidRPr="0089483D">
        <w:rPr>
          <w:rFonts w:ascii="Arial" w:hAnsi="Arial" w:cs="Arial"/>
          <w:bCs/>
          <w:color w:val="000000"/>
          <w:sz w:val="16"/>
          <w:szCs w:val="16"/>
        </w:rPr>
        <w:t>5</w:t>
      </w:r>
      <w:proofErr w:type="gramEnd"/>
      <w:r w:rsidR="00191834" w:rsidRPr="0089483D">
        <w:rPr>
          <w:rFonts w:ascii="Arial" w:hAnsi="Arial" w:cs="Arial"/>
          <w:bCs/>
          <w:color w:val="000000"/>
          <w:sz w:val="16"/>
          <w:szCs w:val="16"/>
        </w:rPr>
        <w:t xml:space="preserve"> (cinco) anos, sem prejuízo das multas previstas no presente instrumento e das demais cominações legais.</w:t>
      </w:r>
    </w:p>
    <w:p w:rsidR="00191834" w:rsidRPr="0089483D" w:rsidRDefault="00191834" w:rsidP="0089483D">
      <w:pPr>
        <w:jc w:val="both"/>
        <w:rPr>
          <w:rFonts w:ascii="Arial" w:hAnsi="Arial" w:cs="Arial"/>
          <w:sz w:val="16"/>
          <w:szCs w:val="16"/>
        </w:rPr>
      </w:pPr>
    </w:p>
    <w:p w:rsidR="00191834" w:rsidRDefault="0089483D" w:rsidP="0089483D">
      <w:pPr>
        <w:jc w:val="both"/>
        <w:rPr>
          <w:rFonts w:ascii="Arial" w:hAnsi="Arial" w:cs="Arial"/>
          <w:bCs/>
          <w:color w:val="000000"/>
          <w:sz w:val="16"/>
          <w:szCs w:val="16"/>
        </w:rPr>
      </w:pPr>
      <w:r>
        <w:rPr>
          <w:rFonts w:ascii="Arial" w:hAnsi="Arial" w:cs="Arial"/>
          <w:bCs/>
          <w:color w:val="000000"/>
          <w:sz w:val="16"/>
          <w:szCs w:val="16"/>
        </w:rPr>
        <w:t>9.</w:t>
      </w:r>
      <w:r w:rsidR="00191834" w:rsidRPr="0089483D">
        <w:rPr>
          <w:rFonts w:ascii="Arial" w:hAnsi="Arial" w:cs="Arial"/>
          <w:bCs/>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89483D" w:rsidRPr="0089483D" w:rsidRDefault="0089483D" w:rsidP="0089483D">
      <w:pPr>
        <w:jc w:val="both"/>
        <w:rPr>
          <w:rFonts w:ascii="Arial" w:hAnsi="Arial" w:cs="Arial"/>
          <w:bCs/>
          <w:color w:val="000000"/>
          <w:sz w:val="16"/>
          <w:szCs w:val="16"/>
        </w:rPr>
      </w:pPr>
    </w:p>
    <w:p w:rsidR="0089483D" w:rsidRPr="0089483D" w:rsidRDefault="0089483D" w:rsidP="0089483D">
      <w:pPr>
        <w:tabs>
          <w:tab w:val="left" w:pos="426"/>
        </w:tabs>
        <w:jc w:val="both"/>
        <w:rPr>
          <w:rFonts w:ascii="Arial" w:hAnsi="Arial" w:cs="Arial"/>
          <w:sz w:val="16"/>
          <w:szCs w:val="16"/>
        </w:rPr>
      </w:pPr>
      <w:r>
        <w:rPr>
          <w:rFonts w:ascii="Arial" w:hAnsi="Arial" w:cs="Arial"/>
          <w:sz w:val="16"/>
          <w:szCs w:val="16"/>
        </w:rPr>
        <w:t xml:space="preserve">9.6. </w:t>
      </w:r>
      <w:r w:rsidRPr="0089483D">
        <w:rPr>
          <w:rFonts w:ascii="Arial" w:hAnsi="Arial" w:cs="Arial"/>
          <w:sz w:val="16"/>
          <w:szCs w:val="16"/>
        </w:rPr>
        <w:t>Além das sanções acima descritas e aquelas determinadas por leis, decretos, regulamentos e demais dispositivos legais, a CONTRATADA estará sujeita a:</w:t>
      </w:r>
    </w:p>
    <w:p w:rsidR="0089483D" w:rsidRPr="0089483D" w:rsidRDefault="0089483D" w:rsidP="0089483D">
      <w:pPr>
        <w:tabs>
          <w:tab w:val="left" w:pos="0"/>
          <w:tab w:val="left" w:pos="426"/>
        </w:tabs>
        <w:jc w:val="both"/>
        <w:rPr>
          <w:rFonts w:ascii="Arial" w:hAnsi="Arial" w:cs="Arial"/>
          <w:color w:val="000000"/>
          <w:sz w:val="16"/>
          <w:szCs w:val="16"/>
        </w:rPr>
      </w:pPr>
    </w:p>
    <w:p w:rsidR="0089483D" w:rsidRPr="0089483D" w:rsidRDefault="0089483D" w:rsidP="0089483D">
      <w:pPr>
        <w:tabs>
          <w:tab w:val="left" w:pos="0"/>
          <w:tab w:val="left" w:pos="426"/>
        </w:tabs>
        <w:jc w:val="both"/>
        <w:rPr>
          <w:rFonts w:ascii="Arial" w:hAnsi="Arial" w:cs="Arial"/>
          <w:sz w:val="16"/>
          <w:szCs w:val="16"/>
        </w:rPr>
      </w:pPr>
      <w:r>
        <w:rPr>
          <w:rFonts w:ascii="Arial" w:hAnsi="Arial" w:cs="Arial"/>
          <w:bCs/>
          <w:color w:val="000000"/>
          <w:sz w:val="16"/>
          <w:szCs w:val="16"/>
        </w:rPr>
        <w:t xml:space="preserve">9.7. </w:t>
      </w:r>
      <w:r w:rsidRPr="0089483D">
        <w:rPr>
          <w:rFonts w:ascii="Arial" w:hAnsi="Arial" w:cs="Arial"/>
          <w:bCs/>
          <w:color w:val="000000"/>
          <w:sz w:val="16"/>
          <w:szCs w:val="16"/>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w:t>
      </w:r>
      <w:r w:rsidRPr="0089483D">
        <w:rPr>
          <w:rFonts w:ascii="Arial" w:hAnsi="Arial" w:cs="Arial"/>
          <w:bCs/>
          <w:sz w:val="16"/>
          <w:szCs w:val="16"/>
        </w:rPr>
        <w:t xml:space="preserve"> ressarcir a Administração pelos prejuízos resultantes e depois de decorrido o prazo da sanção aplicada com base no inciso III, do art. 87 da Lei 8.666/93;</w:t>
      </w:r>
    </w:p>
    <w:p w:rsidR="0089483D" w:rsidRPr="0089483D" w:rsidRDefault="0089483D" w:rsidP="0089483D">
      <w:pPr>
        <w:tabs>
          <w:tab w:val="left" w:pos="0"/>
          <w:tab w:val="left" w:pos="426"/>
        </w:tabs>
        <w:jc w:val="both"/>
        <w:rPr>
          <w:rFonts w:ascii="Arial" w:hAnsi="Arial" w:cs="Arial"/>
          <w:sz w:val="16"/>
          <w:szCs w:val="16"/>
        </w:rPr>
      </w:pPr>
    </w:p>
    <w:p w:rsidR="0089483D" w:rsidRPr="0089483D" w:rsidRDefault="0089483D" w:rsidP="0089483D">
      <w:pPr>
        <w:tabs>
          <w:tab w:val="left" w:pos="0"/>
          <w:tab w:val="left" w:pos="426"/>
        </w:tabs>
        <w:jc w:val="both"/>
        <w:rPr>
          <w:rFonts w:ascii="Arial" w:hAnsi="Arial" w:cs="Arial"/>
          <w:sz w:val="16"/>
          <w:szCs w:val="16"/>
        </w:rPr>
      </w:pPr>
      <w:r>
        <w:rPr>
          <w:rFonts w:ascii="Arial" w:hAnsi="Arial" w:cs="Arial"/>
          <w:bCs/>
          <w:sz w:val="16"/>
          <w:szCs w:val="16"/>
        </w:rPr>
        <w:t xml:space="preserve">9.8. </w:t>
      </w:r>
      <w:r w:rsidRPr="0089483D">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9483D" w:rsidRPr="0089483D" w:rsidRDefault="0089483D" w:rsidP="0089483D">
      <w:pPr>
        <w:tabs>
          <w:tab w:val="left" w:pos="0"/>
          <w:tab w:val="left" w:pos="426"/>
        </w:tabs>
        <w:jc w:val="both"/>
        <w:rPr>
          <w:rFonts w:ascii="Arial" w:hAnsi="Arial" w:cs="Arial"/>
          <w:sz w:val="16"/>
          <w:szCs w:val="16"/>
        </w:rPr>
      </w:pPr>
    </w:p>
    <w:p w:rsidR="0089483D" w:rsidRPr="0089483D" w:rsidRDefault="0089483D" w:rsidP="0089483D">
      <w:pPr>
        <w:tabs>
          <w:tab w:val="left" w:pos="0"/>
          <w:tab w:val="left" w:pos="426"/>
          <w:tab w:val="left" w:pos="567"/>
        </w:tabs>
        <w:jc w:val="both"/>
        <w:rPr>
          <w:rFonts w:ascii="Arial" w:hAnsi="Arial" w:cs="Arial"/>
          <w:sz w:val="16"/>
          <w:szCs w:val="16"/>
        </w:rPr>
      </w:pPr>
      <w:r>
        <w:rPr>
          <w:rFonts w:ascii="Arial" w:hAnsi="Arial" w:cs="Arial"/>
          <w:sz w:val="16"/>
          <w:szCs w:val="16"/>
        </w:rPr>
        <w:t xml:space="preserve">9.9. </w:t>
      </w:r>
      <w:r w:rsidRPr="0089483D">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89483D" w:rsidRPr="0089483D" w:rsidRDefault="0089483D" w:rsidP="0089483D">
      <w:pPr>
        <w:tabs>
          <w:tab w:val="left" w:pos="0"/>
          <w:tab w:val="left" w:pos="426"/>
          <w:tab w:val="left" w:pos="567"/>
        </w:tabs>
        <w:jc w:val="both"/>
        <w:rPr>
          <w:rFonts w:ascii="Arial" w:hAnsi="Arial" w:cs="Arial"/>
          <w:sz w:val="16"/>
          <w:szCs w:val="16"/>
        </w:rPr>
      </w:pPr>
    </w:p>
    <w:p w:rsidR="0089483D" w:rsidRPr="0089483D" w:rsidRDefault="0089483D" w:rsidP="0089483D">
      <w:pPr>
        <w:tabs>
          <w:tab w:val="left" w:pos="0"/>
          <w:tab w:val="left" w:pos="426"/>
          <w:tab w:val="left" w:pos="567"/>
        </w:tabs>
        <w:jc w:val="both"/>
        <w:rPr>
          <w:rFonts w:ascii="Arial" w:hAnsi="Arial" w:cs="Arial"/>
          <w:sz w:val="16"/>
          <w:szCs w:val="16"/>
        </w:rPr>
      </w:pPr>
      <w:r>
        <w:rPr>
          <w:rFonts w:ascii="Arial" w:hAnsi="Arial" w:cs="Arial"/>
          <w:sz w:val="16"/>
          <w:szCs w:val="16"/>
        </w:rPr>
        <w:t xml:space="preserve">9.10. </w:t>
      </w:r>
      <w:r w:rsidRPr="0089483D">
        <w:rPr>
          <w:rFonts w:ascii="Arial" w:hAnsi="Arial" w:cs="Arial"/>
          <w:sz w:val="16"/>
          <w:szCs w:val="16"/>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89483D" w:rsidRPr="0089483D" w:rsidRDefault="0089483D" w:rsidP="0089483D">
      <w:pPr>
        <w:tabs>
          <w:tab w:val="left" w:pos="0"/>
          <w:tab w:val="left" w:pos="426"/>
        </w:tabs>
        <w:jc w:val="both"/>
        <w:rPr>
          <w:rFonts w:ascii="Arial" w:hAnsi="Arial" w:cs="Arial"/>
          <w:sz w:val="16"/>
          <w:szCs w:val="16"/>
        </w:rPr>
      </w:pPr>
    </w:p>
    <w:p w:rsidR="0089483D" w:rsidRPr="0089483D" w:rsidRDefault="0089483D" w:rsidP="0089483D">
      <w:pPr>
        <w:tabs>
          <w:tab w:val="left" w:pos="0"/>
          <w:tab w:val="left" w:pos="426"/>
          <w:tab w:val="left" w:pos="567"/>
        </w:tabs>
        <w:jc w:val="both"/>
        <w:rPr>
          <w:rFonts w:ascii="Arial" w:hAnsi="Arial" w:cs="Arial"/>
          <w:sz w:val="16"/>
          <w:szCs w:val="16"/>
        </w:rPr>
      </w:pPr>
      <w:r>
        <w:rPr>
          <w:rFonts w:ascii="Arial" w:hAnsi="Arial" w:cs="Arial"/>
          <w:sz w:val="16"/>
          <w:szCs w:val="16"/>
        </w:rPr>
        <w:t xml:space="preserve">9.11. </w:t>
      </w:r>
      <w:r w:rsidRPr="0089483D">
        <w:rPr>
          <w:rFonts w:ascii="Arial" w:hAnsi="Arial" w:cs="Arial"/>
          <w:sz w:val="16"/>
          <w:szCs w:val="16"/>
        </w:rPr>
        <w:t xml:space="preserve">As penalidades previstas neste item têm caráter de </w:t>
      </w:r>
      <w:r w:rsidRPr="0089483D">
        <w:rPr>
          <w:rFonts w:ascii="Arial" w:hAnsi="Arial" w:cs="Arial"/>
          <w:bCs/>
          <w:sz w:val="16"/>
          <w:szCs w:val="16"/>
        </w:rPr>
        <w:t>sanção administrativa</w:t>
      </w:r>
      <w:r w:rsidRPr="0089483D">
        <w:rPr>
          <w:rFonts w:ascii="Arial" w:hAnsi="Arial" w:cs="Arial"/>
          <w:sz w:val="16"/>
          <w:szCs w:val="16"/>
        </w:rPr>
        <w:t>, consequentemente, a sua aplicação não exime a empresa detentora da Ata da reparação das eventuais perdas e danos que seu ato venha acarretar ao Estado de Rondônia.</w:t>
      </w:r>
    </w:p>
    <w:p w:rsidR="0089483D" w:rsidRPr="0089483D" w:rsidRDefault="0089483D" w:rsidP="0089483D">
      <w:pPr>
        <w:tabs>
          <w:tab w:val="left" w:pos="0"/>
          <w:tab w:val="left" w:pos="426"/>
          <w:tab w:val="left" w:pos="567"/>
        </w:tabs>
        <w:jc w:val="both"/>
        <w:rPr>
          <w:rFonts w:ascii="Arial" w:hAnsi="Arial" w:cs="Arial"/>
          <w:sz w:val="16"/>
          <w:szCs w:val="16"/>
        </w:rPr>
      </w:pPr>
    </w:p>
    <w:p w:rsidR="0089483D" w:rsidRPr="0089483D" w:rsidRDefault="0089483D" w:rsidP="0089483D">
      <w:pPr>
        <w:tabs>
          <w:tab w:val="left" w:pos="0"/>
          <w:tab w:val="left" w:pos="567"/>
          <w:tab w:val="left" w:pos="993"/>
        </w:tabs>
        <w:jc w:val="both"/>
        <w:rPr>
          <w:rFonts w:ascii="Arial" w:hAnsi="Arial" w:cs="Arial"/>
          <w:sz w:val="16"/>
          <w:szCs w:val="16"/>
        </w:rPr>
      </w:pPr>
      <w:r>
        <w:rPr>
          <w:rFonts w:ascii="Arial" w:hAnsi="Arial" w:cs="Arial"/>
          <w:sz w:val="16"/>
          <w:szCs w:val="16"/>
        </w:rPr>
        <w:t xml:space="preserve">9.12. </w:t>
      </w:r>
      <w:r w:rsidRPr="0089483D">
        <w:rPr>
          <w:rFonts w:ascii="Arial" w:hAnsi="Arial" w:cs="Arial"/>
          <w:sz w:val="16"/>
          <w:szCs w:val="16"/>
        </w:rPr>
        <w:t>As penalidades são independentes e a aplicação de uma não exclui a das demais, quando cabíveis.</w:t>
      </w:r>
    </w:p>
    <w:p w:rsidR="0089483D" w:rsidRPr="0089483D" w:rsidRDefault="0089483D" w:rsidP="0089483D">
      <w:pPr>
        <w:tabs>
          <w:tab w:val="left" w:pos="426"/>
          <w:tab w:val="left" w:pos="567"/>
          <w:tab w:val="left" w:pos="709"/>
        </w:tabs>
        <w:jc w:val="both"/>
        <w:rPr>
          <w:rFonts w:ascii="Arial" w:hAnsi="Arial" w:cs="Arial"/>
          <w:color w:val="000000" w:themeColor="text1"/>
          <w:sz w:val="16"/>
          <w:szCs w:val="16"/>
        </w:rPr>
      </w:pPr>
    </w:p>
    <w:p w:rsidR="0089483D" w:rsidRPr="0089483D" w:rsidRDefault="0089483D" w:rsidP="0089483D">
      <w:pPr>
        <w:pStyle w:val="PargrafodaLista"/>
        <w:numPr>
          <w:ilvl w:val="1"/>
          <w:numId w:val="39"/>
        </w:numPr>
        <w:tabs>
          <w:tab w:val="left" w:pos="426"/>
          <w:tab w:val="left" w:pos="567"/>
          <w:tab w:val="left" w:pos="709"/>
        </w:tabs>
        <w:ind w:left="0" w:firstLine="0"/>
        <w:jc w:val="both"/>
        <w:rPr>
          <w:rFonts w:ascii="Arial" w:hAnsi="Arial" w:cs="Arial"/>
          <w:color w:val="000000" w:themeColor="text1"/>
          <w:sz w:val="16"/>
          <w:szCs w:val="16"/>
        </w:rPr>
      </w:pPr>
      <w:r w:rsidRPr="0089483D">
        <w:rPr>
          <w:rFonts w:ascii="Arial" w:hAnsi="Arial" w:cs="Arial"/>
          <w:color w:val="000000" w:themeColor="text1"/>
          <w:sz w:val="16"/>
          <w:szCs w:val="16"/>
        </w:rPr>
        <w:lastRenderedPageBreak/>
        <w:t xml:space="preserve">Na hipótese de apresentar documentação inverossímil ou de cometer fraude, o licitante poderá sofrer, sem prejuízo da </w:t>
      </w:r>
      <w:r w:rsidRPr="0089483D">
        <w:rPr>
          <w:rFonts w:ascii="Arial" w:hAnsi="Arial" w:cs="Arial"/>
          <w:bCs/>
          <w:color w:val="000000" w:themeColor="text1"/>
          <w:sz w:val="16"/>
          <w:szCs w:val="16"/>
        </w:rPr>
        <w:t>comunicação do ocorrido ao Ministério Público</w:t>
      </w:r>
      <w:r w:rsidRPr="0089483D">
        <w:rPr>
          <w:rFonts w:ascii="Arial" w:hAnsi="Arial" w:cs="Arial"/>
          <w:color w:val="000000" w:themeColor="text1"/>
          <w:sz w:val="16"/>
          <w:szCs w:val="16"/>
        </w:rPr>
        <w:t>, quaisquer das sanções adiante previstas, que poderão ser aplicadas cumulativamente:</w:t>
      </w:r>
    </w:p>
    <w:p w:rsidR="0089483D" w:rsidRPr="0089483D" w:rsidRDefault="0089483D" w:rsidP="0089483D">
      <w:pPr>
        <w:tabs>
          <w:tab w:val="left" w:pos="426"/>
          <w:tab w:val="left" w:pos="709"/>
        </w:tabs>
        <w:jc w:val="both"/>
        <w:rPr>
          <w:rFonts w:ascii="Arial" w:hAnsi="Arial" w:cs="Arial"/>
          <w:color w:val="000000" w:themeColor="text1"/>
          <w:sz w:val="16"/>
          <w:szCs w:val="16"/>
        </w:rPr>
      </w:pPr>
    </w:p>
    <w:p w:rsidR="0089483D" w:rsidRPr="0089483D" w:rsidRDefault="0089483D" w:rsidP="0089483D">
      <w:pPr>
        <w:pStyle w:val="PargrafodaLista"/>
        <w:numPr>
          <w:ilvl w:val="2"/>
          <w:numId w:val="39"/>
        </w:numPr>
        <w:tabs>
          <w:tab w:val="left" w:pos="426"/>
          <w:tab w:val="left" w:pos="567"/>
          <w:tab w:val="left" w:pos="709"/>
          <w:tab w:val="left" w:pos="1134"/>
        </w:tabs>
        <w:ind w:left="0" w:firstLine="0"/>
        <w:jc w:val="both"/>
        <w:rPr>
          <w:rFonts w:ascii="Arial" w:hAnsi="Arial" w:cs="Arial"/>
          <w:color w:val="000000" w:themeColor="text1"/>
          <w:sz w:val="16"/>
          <w:szCs w:val="16"/>
        </w:rPr>
      </w:pPr>
      <w:r w:rsidRPr="0089483D">
        <w:rPr>
          <w:rFonts w:ascii="Arial" w:hAnsi="Arial" w:cs="Arial"/>
          <w:bCs/>
          <w:color w:val="000000" w:themeColor="text1"/>
          <w:sz w:val="16"/>
          <w:szCs w:val="16"/>
        </w:rPr>
        <w:t>Desclassificação</w:t>
      </w:r>
      <w:r w:rsidRPr="0089483D">
        <w:rPr>
          <w:rFonts w:ascii="Arial" w:hAnsi="Arial" w:cs="Arial"/>
          <w:color w:val="000000" w:themeColor="text1"/>
          <w:sz w:val="16"/>
          <w:szCs w:val="16"/>
        </w:rPr>
        <w:t>, se a seleção se encontrar em fase de julgamento;</w:t>
      </w:r>
    </w:p>
    <w:p w:rsidR="0089483D" w:rsidRPr="0089483D" w:rsidRDefault="0089483D" w:rsidP="0089483D">
      <w:pPr>
        <w:tabs>
          <w:tab w:val="left" w:pos="426"/>
          <w:tab w:val="left" w:pos="567"/>
          <w:tab w:val="left" w:pos="709"/>
          <w:tab w:val="left" w:pos="1134"/>
          <w:tab w:val="left" w:pos="1276"/>
        </w:tabs>
        <w:jc w:val="both"/>
        <w:rPr>
          <w:rFonts w:ascii="Arial" w:hAnsi="Arial" w:cs="Arial"/>
          <w:color w:val="000000" w:themeColor="text1"/>
          <w:sz w:val="16"/>
          <w:szCs w:val="16"/>
        </w:rPr>
      </w:pPr>
    </w:p>
    <w:p w:rsidR="0089483D" w:rsidRPr="0089483D" w:rsidRDefault="0089483D" w:rsidP="0089483D">
      <w:pPr>
        <w:numPr>
          <w:ilvl w:val="2"/>
          <w:numId w:val="39"/>
        </w:numPr>
        <w:tabs>
          <w:tab w:val="left" w:pos="426"/>
          <w:tab w:val="left" w:pos="567"/>
          <w:tab w:val="left" w:pos="709"/>
          <w:tab w:val="left" w:pos="1134"/>
        </w:tabs>
        <w:ind w:left="0" w:firstLine="0"/>
        <w:jc w:val="both"/>
        <w:rPr>
          <w:rFonts w:ascii="Arial" w:hAnsi="Arial" w:cs="Arial"/>
          <w:color w:val="000000" w:themeColor="text1"/>
          <w:sz w:val="16"/>
          <w:szCs w:val="16"/>
        </w:rPr>
      </w:pPr>
      <w:r w:rsidRPr="0089483D">
        <w:rPr>
          <w:rFonts w:ascii="Arial" w:hAnsi="Arial" w:cs="Arial"/>
          <w:bCs/>
          <w:color w:val="000000" w:themeColor="text1"/>
          <w:sz w:val="16"/>
          <w:szCs w:val="16"/>
        </w:rPr>
        <w:t>Cancelamento do preço registrado,</w:t>
      </w:r>
      <w:r w:rsidRPr="0089483D">
        <w:rPr>
          <w:rFonts w:ascii="Arial" w:hAnsi="Arial" w:cs="Arial"/>
          <w:color w:val="000000" w:themeColor="text1"/>
          <w:sz w:val="16"/>
          <w:szCs w:val="16"/>
        </w:rPr>
        <w:t xml:space="preserve"> procedendo-se à paralisação do fornecimento.</w:t>
      </w:r>
    </w:p>
    <w:p w:rsidR="0089483D" w:rsidRPr="0089483D" w:rsidRDefault="0089483D" w:rsidP="0089483D">
      <w:pPr>
        <w:tabs>
          <w:tab w:val="left" w:pos="426"/>
          <w:tab w:val="left" w:pos="709"/>
        </w:tabs>
        <w:jc w:val="both"/>
        <w:rPr>
          <w:rFonts w:ascii="Arial" w:hAnsi="Arial" w:cs="Arial"/>
          <w:color w:val="000000" w:themeColor="text1"/>
          <w:sz w:val="16"/>
          <w:szCs w:val="16"/>
        </w:rPr>
      </w:pPr>
    </w:p>
    <w:p w:rsidR="0089483D" w:rsidRPr="0089483D" w:rsidRDefault="0089483D" w:rsidP="0089483D">
      <w:pPr>
        <w:numPr>
          <w:ilvl w:val="1"/>
          <w:numId w:val="39"/>
        </w:numPr>
        <w:tabs>
          <w:tab w:val="left" w:pos="426"/>
          <w:tab w:val="left" w:pos="567"/>
          <w:tab w:val="left" w:pos="709"/>
          <w:tab w:val="left" w:pos="851"/>
        </w:tabs>
        <w:ind w:left="0" w:firstLine="0"/>
        <w:jc w:val="both"/>
        <w:rPr>
          <w:rFonts w:ascii="Arial" w:hAnsi="Arial" w:cs="Arial"/>
          <w:color w:val="000000" w:themeColor="text1"/>
          <w:sz w:val="16"/>
          <w:szCs w:val="16"/>
        </w:rPr>
      </w:pPr>
      <w:r w:rsidRPr="0089483D">
        <w:rPr>
          <w:rFonts w:ascii="Arial" w:hAnsi="Arial" w:cs="Arial"/>
          <w:color w:val="000000" w:themeColor="text1"/>
          <w:sz w:val="16"/>
          <w:szCs w:val="16"/>
        </w:rPr>
        <w:t>O preço registrado poderá ser cancelado pela Administração Pública, nos termos do Artigo 24 e 25 do Decreto 18.340/13, quando:</w:t>
      </w:r>
    </w:p>
    <w:p w:rsidR="0089483D" w:rsidRPr="0089483D" w:rsidRDefault="0089483D" w:rsidP="0089483D">
      <w:pPr>
        <w:tabs>
          <w:tab w:val="left" w:pos="426"/>
          <w:tab w:val="left" w:pos="567"/>
          <w:tab w:val="left" w:pos="709"/>
          <w:tab w:val="left" w:pos="851"/>
        </w:tabs>
        <w:jc w:val="both"/>
        <w:rPr>
          <w:rFonts w:ascii="Arial" w:hAnsi="Arial" w:cs="Arial"/>
          <w:color w:val="000000" w:themeColor="text1"/>
          <w:sz w:val="16"/>
          <w:szCs w:val="16"/>
        </w:rPr>
      </w:pPr>
    </w:p>
    <w:p w:rsidR="0089483D" w:rsidRPr="0089483D" w:rsidRDefault="0089483D" w:rsidP="0089483D">
      <w:pPr>
        <w:pStyle w:val="Lista3"/>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 xml:space="preserve">A Detentora </w:t>
      </w:r>
      <w:proofErr w:type="gramStart"/>
      <w:r w:rsidRPr="0089483D">
        <w:rPr>
          <w:color w:val="000000" w:themeColor="text1"/>
          <w:sz w:val="16"/>
          <w:szCs w:val="16"/>
        </w:rPr>
        <w:t>do Registro deixar</w:t>
      </w:r>
      <w:proofErr w:type="gramEnd"/>
      <w:r w:rsidRPr="0089483D">
        <w:rPr>
          <w:color w:val="000000" w:themeColor="text1"/>
          <w:sz w:val="16"/>
          <w:szCs w:val="16"/>
        </w:rPr>
        <w:t xml:space="preserve"> de cumprir total ou parcial as condições da Ata de Registro de Preços .</w:t>
      </w:r>
    </w:p>
    <w:p w:rsidR="0089483D" w:rsidRPr="0089483D" w:rsidRDefault="0089483D" w:rsidP="0089483D">
      <w:pPr>
        <w:pStyle w:val="Lista3"/>
        <w:tabs>
          <w:tab w:val="left" w:pos="426"/>
          <w:tab w:val="left" w:pos="709"/>
          <w:tab w:val="left" w:pos="1276"/>
        </w:tabs>
        <w:ind w:left="0" w:firstLine="0"/>
        <w:jc w:val="both"/>
        <w:rPr>
          <w:color w:val="000000" w:themeColor="text1"/>
          <w:sz w:val="16"/>
          <w:szCs w:val="16"/>
        </w:rPr>
      </w:pPr>
    </w:p>
    <w:p w:rsidR="0089483D" w:rsidRPr="0089483D" w:rsidRDefault="0089483D" w:rsidP="0089483D">
      <w:pPr>
        <w:pStyle w:val="Lista3"/>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A Detentora do Registro não retirar a nota de empenho ou</w:t>
      </w:r>
      <w:proofErr w:type="gramStart"/>
      <w:r w:rsidRPr="0089483D">
        <w:rPr>
          <w:color w:val="000000" w:themeColor="text1"/>
          <w:sz w:val="16"/>
          <w:szCs w:val="16"/>
        </w:rPr>
        <w:t xml:space="preserve">  </w:t>
      </w:r>
      <w:proofErr w:type="gramEnd"/>
      <w:r w:rsidRPr="0089483D">
        <w:rPr>
          <w:color w:val="000000" w:themeColor="text1"/>
          <w:sz w:val="16"/>
          <w:szCs w:val="16"/>
        </w:rPr>
        <w:t>instrumento equivalente no prazo estabelecido, sem justificativa aceita pela Administração;</w:t>
      </w:r>
    </w:p>
    <w:p w:rsidR="0089483D" w:rsidRPr="0089483D" w:rsidRDefault="0089483D" w:rsidP="0089483D">
      <w:pPr>
        <w:pStyle w:val="PargrafodaLista"/>
        <w:tabs>
          <w:tab w:val="left" w:pos="426"/>
          <w:tab w:val="left" w:pos="709"/>
        </w:tabs>
        <w:ind w:left="0"/>
        <w:rPr>
          <w:rFonts w:ascii="Arial" w:hAnsi="Arial" w:cs="Arial"/>
          <w:color w:val="000000" w:themeColor="text1"/>
          <w:sz w:val="16"/>
          <w:szCs w:val="16"/>
        </w:rPr>
      </w:pPr>
    </w:p>
    <w:p w:rsidR="0089483D" w:rsidRPr="0089483D" w:rsidRDefault="0089483D" w:rsidP="0089483D">
      <w:pPr>
        <w:pStyle w:val="Lista3"/>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A detentora incorrer reiteradamente em infrações previstas no Edital;</w:t>
      </w:r>
    </w:p>
    <w:p w:rsidR="0089483D" w:rsidRPr="0089483D" w:rsidRDefault="0089483D" w:rsidP="0089483D">
      <w:pPr>
        <w:pStyle w:val="Lista3"/>
        <w:tabs>
          <w:tab w:val="left" w:pos="426"/>
          <w:tab w:val="left" w:pos="709"/>
          <w:tab w:val="left" w:pos="1276"/>
        </w:tabs>
        <w:ind w:left="0" w:firstLine="0"/>
        <w:jc w:val="both"/>
        <w:rPr>
          <w:color w:val="000000" w:themeColor="text1"/>
          <w:sz w:val="16"/>
          <w:szCs w:val="16"/>
        </w:rPr>
      </w:pPr>
    </w:p>
    <w:p w:rsidR="0089483D" w:rsidRPr="0089483D" w:rsidRDefault="0089483D" w:rsidP="0089483D">
      <w:pPr>
        <w:pStyle w:val="Lista3"/>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 xml:space="preserve">A Detentora </w:t>
      </w:r>
      <w:proofErr w:type="gramStart"/>
      <w:r w:rsidRPr="0089483D">
        <w:rPr>
          <w:color w:val="000000" w:themeColor="text1"/>
          <w:sz w:val="16"/>
          <w:szCs w:val="16"/>
        </w:rPr>
        <w:t>do Registro praticar</w:t>
      </w:r>
      <w:proofErr w:type="gramEnd"/>
      <w:r w:rsidRPr="0089483D">
        <w:rPr>
          <w:color w:val="000000" w:themeColor="text1"/>
          <w:sz w:val="16"/>
          <w:szCs w:val="16"/>
        </w:rPr>
        <w:t xml:space="preserve"> atos fraudulentos no intuito de auferir vantagem ilícita;</w:t>
      </w:r>
    </w:p>
    <w:p w:rsidR="0089483D" w:rsidRPr="0089483D" w:rsidRDefault="0089483D" w:rsidP="0089483D">
      <w:pPr>
        <w:pStyle w:val="Lista3"/>
        <w:tabs>
          <w:tab w:val="left" w:pos="426"/>
          <w:tab w:val="left" w:pos="709"/>
          <w:tab w:val="left" w:pos="1276"/>
        </w:tabs>
        <w:ind w:left="0" w:firstLine="0"/>
        <w:jc w:val="both"/>
        <w:rPr>
          <w:color w:val="000000" w:themeColor="text1"/>
          <w:sz w:val="16"/>
          <w:szCs w:val="16"/>
        </w:rPr>
      </w:pPr>
    </w:p>
    <w:p w:rsidR="0089483D" w:rsidRPr="0089483D" w:rsidRDefault="0089483D" w:rsidP="0089483D">
      <w:pPr>
        <w:pStyle w:val="Lista3"/>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 xml:space="preserve">Não aceitar reduzir o seu preço registrado, na hipótese deste se tornar superior aqueles praticados no mercador ou sofrer sanção prevista nos incisos III ou IV do </w:t>
      </w:r>
      <w:r w:rsidRPr="0089483D">
        <w:rPr>
          <w:i/>
          <w:color w:val="000000" w:themeColor="text1"/>
          <w:sz w:val="16"/>
          <w:szCs w:val="16"/>
        </w:rPr>
        <w:t>caput</w:t>
      </w:r>
      <w:proofErr w:type="gramStart"/>
      <w:r w:rsidRPr="0089483D">
        <w:rPr>
          <w:i/>
          <w:color w:val="000000" w:themeColor="text1"/>
          <w:sz w:val="16"/>
          <w:szCs w:val="16"/>
        </w:rPr>
        <w:t xml:space="preserve"> </w:t>
      </w:r>
      <w:r w:rsidRPr="0089483D">
        <w:rPr>
          <w:color w:val="000000" w:themeColor="text1"/>
          <w:sz w:val="16"/>
          <w:szCs w:val="16"/>
        </w:rPr>
        <w:t xml:space="preserve"> </w:t>
      </w:r>
      <w:proofErr w:type="gramEnd"/>
      <w:r w:rsidRPr="0089483D">
        <w:rPr>
          <w:color w:val="000000" w:themeColor="text1"/>
          <w:sz w:val="16"/>
          <w:szCs w:val="16"/>
        </w:rPr>
        <w:t>do artigo 87 da Lei 8.666/93 ou no artigo 7º da Lei 10.520/02.</w:t>
      </w:r>
    </w:p>
    <w:p w:rsidR="0089483D" w:rsidRPr="0089483D" w:rsidRDefault="0089483D" w:rsidP="0089483D">
      <w:pPr>
        <w:pStyle w:val="Lista3"/>
        <w:tabs>
          <w:tab w:val="left" w:pos="426"/>
          <w:tab w:val="left" w:pos="709"/>
          <w:tab w:val="left" w:pos="1276"/>
        </w:tabs>
        <w:ind w:left="0" w:firstLine="0"/>
        <w:jc w:val="both"/>
        <w:rPr>
          <w:color w:val="000000" w:themeColor="text1"/>
          <w:sz w:val="16"/>
          <w:szCs w:val="16"/>
        </w:rPr>
      </w:pPr>
    </w:p>
    <w:p w:rsidR="0089483D" w:rsidRPr="0089483D" w:rsidRDefault="0089483D" w:rsidP="0089483D">
      <w:pPr>
        <w:pStyle w:val="Lista3"/>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Por razões de interesse público, mediante despacho motivado, devidamente justificado.</w:t>
      </w:r>
    </w:p>
    <w:p w:rsidR="0089483D" w:rsidRPr="0089483D" w:rsidRDefault="0089483D" w:rsidP="0089483D">
      <w:pPr>
        <w:tabs>
          <w:tab w:val="left" w:pos="426"/>
          <w:tab w:val="left" w:pos="709"/>
          <w:tab w:val="left" w:pos="1276"/>
        </w:tabs>
        <w:jc w:val="both"/>
        <w:rPr>
          <w:rFonts w:ascii="Arial" w:hAnsi="Arial" w:cs="Arial"/>
          <w:color w:val="000000" w:themeColor="text1"/>
          <w:sz w:val="16"/>
          <w:szCs w:val="16"/>
        </w:rPr>
      </w:pPr>
    </w:p>
    <w:p w:rsidR="0089483D" w:rsidRPr="0089483D" w:rsidRDefault="0089483D" w:rsidP="0089483D">
      <w:pPr>
        <w:pStyle w:val="Lista4"/>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O cancelamento do registro nas hipóteses nos sub</w:t>
      </w:r>
      <w:r>
        <w:rPr>
          <w:color w:val="000000" w:themeColor="text1"/>
          <w:sz w:val="16"/>
          <w:szCs w:val="16"/>
        </w:rPr>
        <w:t>itens 9.14.1, 9.14</w:t>
      </w:r>
      <w:r w:rsidRPr="0089483D">
        <w:rPr>
          <w:color w:val="000000" w:themeColor="text1"/>
          <w:sz w:val="16"/>
          <w:szCs w:val="16"/>
        </w:rPr>
        <w:t>.2,</w:t>
      </w:r>
      <w:r>
        <w:rPr>
          <w:color w:val="000000" w:themeColor="text1"/>
          <w:sz w:val="16"/>
          <w:szCs w:val="16"/>
        </w:rPr>
        <w:t xml:space="preserve"> 9.14</w:t>
      </w:r>
      <w:r w:rsidRPr="0089483D">
        <w:rPr>
          <w:color w:val="000000" w:themeColor="text1"/>
          <w:sz w:val="16"/>
          <w:szCs w:val="16"/>
        </w:rPr>
        <w:t>.5 será formalizado por despacho do órgão gerenciador, assegurado o contraditório e a ampla defesa.</w:t>
      </w:r>
    </w:p>
    <w:p w:rsidR="0089483D" w:rsidRPr="0089483D" w:rsidRDefault="0089483D" w:rsidP="0089483D">
      <w:pPr>
        <w:pStyle w:val="Lista4"/>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O cancelamento do registro nas hipóteses dos sub</w:t>
      </w:r>
      <w:r>
        <w:rPr>
          <w:color w:val="000000" w:themeColor="text1"/>
          <w:sz w:val="16"/>
          <w:szCs w:val="16"/>
        </w:rPr>
        <w:t>itens 9.14</w:t>
      </w:r>
      <w:r w:rsidRPr="0089483D">
        <w:rPr>
          <w:color w:val="000000" w:themeColor="text1"/>
          <w:sz w:val="16"/>
          <w:szCs w:val="16"/>
        </w:rPr>
        <w:t>.1 e 9.</w:t>
      </w:r>
      <w:r>
        <w:rPr>
          <w:color w:val="000000" w:themeColor="text1"/>
          <w:sz w:val="16"/>
          <w:szCs w:val="16"/>
        </w:rPr>
        <w:t>14</w:t>
      </w:r>
      <w:r w:rsidRPr="0089483D">
        <w:rPr>
          <w:color w:val="000000" w:themeColor="text1"/>
          <w:sz w:val="16"/>
          <w:szCs w:val="16"/>
        </w:rPr>
        <w:t>.2 acarretará ainda a aplicação das penalidades cabíveis, assegurado o contraditório e a ampla defesa.</w:t>
      </w:r>
    </w:p>
    <w:p w:rsidR="0089483D" w:rsidRPr="0089483D" w:rsidRDefault="0089483D" w:rsidP="0089483D">
      <w:pPr>
        <w:pStyle w:val="Lista4"/>
        <w:tabs>
          <w:tab w:val="left" w:pos="426"/>
          <w:tab w:val="left" w:pos="709"/>
          <w:tab w:val="left" w:pos="1276"/>
        </w:tabs>
        <w:ind w:left="0" w:firstLine="0"/>
        <w:jc w:val="both"/>
        <w:rPr>
          <w:color w:val="000000" w:themeColor="text1"/>
          <w:sz w:val="16"/>
          <w:szCs w:val="16"/>
        </w:rPr>
      </w:pPr>
    </w:p>
    <w:p w:rsidR="0089483D" w:rsidRPr="0089483D" w:rsidRDefault="0089483D" w:rsidP="0089483D">
      <w:pPr>
        <w:pStyle w:val="Lista4"/>
        <w:numPr>
          <w:ilvl w:val="2"/>
          <w:numId w:val="39"/>
        </w:numPr>
        <w:tabs>
          <w:tab w:val="left" w:pos="426"/>
          <w:tab w:val="left" w:pos="709"/>
        </w:tabs>
        <w:ind w:left="0" w:firstLine="0"/>
        <w:jc w:val="both"/>
        <w:rPr>
          <w:color w:val="000000" w:themeColor="text1"/>
          <w:sz w:val="16"/>
          <w:szCs w:val="16"/>
        </w:rPr>
      </w:pPr>
      <w:r w:rsidRPr="0089483D">
        <w:rPr>
          <w:color w:val="000000" w:themeColor="text1"/>
          <w:sz w:val="16"/>
          <w:szCs w:val="16"/>
        </w:rPr>
        <w:t>O cancelamento do registro de preços poderá ocorrer por fato superveniente, decorrente de caso fortuito ou força maior, que prejudique o cumprimento da ata, devidamente comprovados e justificados:</w:t>
      </w:r>
    </w:p>
    <w:p w:rsidR="0089483D" w:rsidRPr="0089483D" w:rsidRDefault="0089483D" w:rsidP="0089483D">
      <w:pPr>
        <w:pStyle w:val="Lista4"/>
        <w:tabs>
          <w:tab w:val="left" w:pos="426"/>
          <w:tab w:val="left" w:pos="709"/>
        </w:tabs>
        <w:ind w:left="0" w:firstLine="0"/>
        <w:jc w:val="both"/>
        <w:rPr>
          <w:color w:val="000000" w:themeColor="text1"/>
          <w:sz w:val="16"/>
          <w:szCs w:val="16"/>
        </w:rPr>
      </w:pPr>
    </w:p>
    <w:p w:rsidR="0089483D" w:rsidRPr="0089483D" w:rsidRDefault="0089483D" w:rsidP="0089483D">
      <w:pPr>
        <w:pStyle w:val="Lista4"/>
        <w:numPr>
          <w:ilvl w:val="3"/>
          <w:numId w:val="39"/>
        </w:numPr>
        <w:tabs>
          <w:tab w:val="left" w:pos="426"/>
          <w:tab w:val="left" w:pos="709"/>
          <w:tab w:val="left" w:pos="1985"/>
        </w:tabs>
        <w:ind w:left="0" w:firstLine="0"/>
        <w:jc w:val="both"/>
        <w:rPr>
          <w:color w:val="000000" w:themeColor="text1"/>
          <w:sz w:val="16"/>
          <w:szCs w:val="16"/>
        </w:rPr>
      </w:pPr>
      <w:r w:rsidRPr="0089483D">
        <w:rPr>
          <w:color w:val="000000" w:themeColor="text1"/>
          <w:sz w:val="16"/>
          <w:szCs w:val="16"/>
        </w:rPr>
        <w:t>Por razões de interesse público ou</w:t>
      </w:r>
    </w:p>
    <w:p w:rsidR="0089483D" w:rsidRPr="0089483D" w:rsidRDefault="0089483D" w:rsidP="0089483D">
      <w:pPr>
        <w:pStyle w:val="Lista4"/>
        <w:tabs>
          <w:tab w:val="left" w:pos="426"/>
          <w:tab w:val="left" w:pos="709"/>
          <w:tab w:val="left" w:pos="1985"/>
        </w:tabs>
        <w:ind w:left="0" w:firstLine="0"/>
        <w:jc w:val="both"/>
        <w:rPr>
          <w:color w:val="000000" w:themeColor="text1"/>
          <w:sz w:val="16"/>
          <w:szCs w:val="16"/>
        </w:rPr>
      </w:pPr>
    </w:p>
    <w:p w:rsidR="0089483D" w:rsidRPr="0089483D" w:rsidRDefault="0089483D" w:rsidP="0089483D">
      <w:pPr>
        <w:pStyle w:val="Lista4"/>
        <w:numPr>
          <w:ilvl w:val="3"/>
          <w:numId w:val="39"/>
        </w:numPr>
        <w:tabs>
          <w:tab w:val="left" w:pos="426"/>
          <w:tab w:val="left" w:pos="709"/>
          <w:tab w:val="left" w:pos="1985"/>
        </w:tabs>
        <w:ind w:left="0" w:firstLine="0"/>
        <w:jc w:val="both"/>
        <w:rPr>
          <w:color w:val="000000" w:themeColor="text1"/>
          <w:sz w:val="16"/>
          <w:szCs w:val="16"/>
        </w:rPr>
      </w:pPr>
      <w:r w:rsidRPr="0089483D">
        <w:rPr>
          <w:color w:val="000000" w:themeColor="text1"/>
          <w:sz w:val="16"/>
          <w:szCs w:val="16"/>
        </w:rPr>
        <w:t xml:space="preserve"> </w:t>
      </w:r>
      <w:proofErr w:type="gramStart"/>
      <w:r w:rsidRPr="0089483D">
        <w:rPr>
          <w:color w:val="000000" w:themeColor="text1"/>
          <w:sz w:val="16"/>
          <w:szCs w:val="16"/>
        </w:rPr>
        <w:t>A pedido</w:t>
      </w:r>
      <w:proofErr w:type="gramEnd"/>
      <w:r w:rsidRPr="0089483D">
        <w:rPr>
          <w:color w:val="000000" w:themeColor="text1"/>
          <w:sz w:val="16"/>
          <w:szCs w:val="16"/>
        </w:rPr>
        <w:t xml:space="preserve"> do fornecedor.</w:t>
      </w:r>
    </w:p>
    <w:p w:rsidR="0089483D" w:rsidRPr="0089483D" w:rsidRDefault="0089483D" w:rsidP="0089483D">
      <w:pPr>
        <w:pStyle w:val="Lista4"/>
        <w:tabs>
          <w:tab w:val="left" w:pos="426"/>
          <w:tab w:val="left" w:pos="709"/>
        </w:tabs>
        <w:ind w:left="0" w:firstLine="0"/>
        <w:jc w:val="both"/>
        <w:rPr>
          <w:color w:val="000000" w:themeColor="text1"/>
          <w:sz w:val="16"/>
          <w:szCs w:val="16"/>
        </w:rPr>
      </w:pPr>
    </w:p>
    <w:p w:rsidR="0089483D" w:rsidRPr="0089483D" w:rsidRDefault="0089483D" w:rsidP="0089483D">
      <w:pPr>
        <w:pStyle w:val="Lista3"/>
        <w:numPr>
          <w:ilvl w:val="2"/>
          <w:numId w:val="39"/>
        </w:numPr>
        <w:tabs>
          <w:tab w:val="left" w:pos="426"/>
          <w:tab w:val="left" w:pos="567"/>
          <w:tab w:val="left" w:pos="709"/>
          <w:tab w:val="left" w:pos="1134"/>
          <w:tab w:val="left" w:pos="1560"/>
          <w:tab w:val="left" w:pos="1701"/>
        </w:tabs>
        <w:ind w:left="0" w:firstLine="0"/>
        <w:jc w:val="both"/>
        <w:rPr>
          <w:color w:val="000000" w:themeColor="text1"/>
          <w:sz w:val="16"/>
          <w:szCs w:val="16"/>
        </w:rPr>
      </w:pPr>
      <w:r w:rsidRPr="0089483D">
        <w:rPr>
          <w:color w:val="000000" w:themeColor="text1"/>
          <w:sz w:val="16"/>
          <w:szCs w:val="16"/>
        </w:rPr>
        <w:t>O preço registrado poderá ser cancelado pela Administração de pleno direito, sem prejuízo da aplicação das sanções cabíveis, observado o direito ao contraditório e a ampla defesa, quando a detentora:</w:t>
      </w:r>
    </w:p>
    <w:p w:rsidR="0089483D" w:rsidRPr="0089483D" w:rsidRDefault="0089483D" w:rsidP="0089483D">
      <w:pPr>
        <w:pStyle w:val="Lista3"/>
        <w:tabs>
          <w:tab w:val="left" w:pos="426"/>
          <w:tab w:val="left" w:pos="567"/>
          <w:tab w:val="left" w:pos="709"/>
          <w:tab w:val="left" w:pos="1134"/>
          <w:tab w:val="left" w:pos="1276"/>
          <w:tab w:val="left" w:pos="1418"/>
          <w:tab w:val="left" w:pos="1985"/>
        </w:tabs>
        <w:ind w:left="0" w:firstLine="0"/>
        <w:jc w:val="both"/>
        <w:rPr>
          <w:color w:val="000000" w:themeColor="text1"/>
          <w:sz w:val="16"/>
          <w:szCs w:val="16"/>
        </w:rPr>
      </w:pPr>
    </w:p>
    <w:p w:rsidR="0089483D" w:rsidRPr="0089483D" w:rsidRDefault="0089483D" w:rsidP="0089483D">
      <w:pPr>
        <w:pStyle w:val="Lista3"/>
        <w:numPr>
          <w:ilvl w:val="3"/>
          <w:numId w:val="39"/>
        </w:numPr>
        <w:tabs>
          <w:tab w:val="left" w:pos="426"/>
          <w:tab w:val="left" w:pos="709"/>
          <w:tab w:val="left" w:pos="851"/>
          <w:tab w:val="left" w:pos="1276"/>
          <w:tab w:val="left" w:pos="1418"/>
          <w:tab w:val="left" w:pos="1985"/>
        </w:tabs>
        <w:ind w:left="0" w:firstLine="0"/>
        <w:jc w:val="both"/>
        <w:rPr>
          <w:color w:val="000000" w:themeColor="text1"/>
          <w:sz w:val="16"/>
          <w:szCs w:val="16"/>
        </w:rPr>
      </w:pPr>
      <w:r w:rsidRPr="0089483D">
        <w:rPr>
          <w:color w:val="000000" w:themeColor="text1"/>
          <w:sz w:val="16"/>
          <w:szCs w:val="16"/>
        </w:rPr>
        <w:t>Descumprir as condições da Ata de registro de Preços;</w:t>
      </w:r>
    </w:p>
    <w:p w:rsidR="0089483D" w:rsidRPr="0089483D" w:rsidRDefault="0089483D" w:rsidP="0089483D">
      <w:pPr>
        <w:pStyle w:val="Lista3"/>
        <w:tabs>
          <w:tab w:val="left" w:pos="426"/>
          <w:tab w:val="left" w:pos="709"/>
          <w:tab w:val="left" w:pos="851"/>
          <w:tab w:val="left" w:pos="1276"/>
          <w:tab w:val="left" w:pos="1418"/>
          <w:tab w:val="left" w:pos="1985"/>
          <w:tab w:val="left" w:pos="2127"/>
        </w:tabs>
        <w:ind w:left="0" w:firstLine="0"/>
        <w:jc w:val="both"/>
        <w:rPr>
          <w:color w:val="000000"/>
          <w:sz w:val="16"/>
          <w:szCs w:val="16"/>
        </w:rPr>
      </w:pPr>
    </w:p>
    <w:p w:rsidR="0089483D" w:rsidRPr="0089483D" w:rsidRDefault="0089483D" w:rsidP="0089483D">
      <w:pPr>
        <w:pStyle w:val="Lista3"/>
        <w:numPr>
          <w:ilvl w:val="3"/>
          <w:numId w:val="39"/>
        </w:numPr>
        <w:tabs>
          <w:tab w:val="left" w:pos="426"/>
          <w:tab w:val="left" w:pos="709"/>
          <w:tab w:val="left" w:pos="851"/>
          <w:tab w:val="left" w:pos="1276"/>
          <w:tab w:val="left" w:pos="1560"/>
          <w:tab w:val="left" w:pos="1985"/>
        </w:tabs>
        <w:ind w:left="0" w:firstLine="0"/>
        <w:jc w:val="both"/>
        <w:rPr>
          <w:color w:val="000000"/>
          <w:sz w:val="16"/>
          <w:szCs w:val="16"/>
        </w:rPr>
      </w:pPr>
      <w:r w:rsidRPr="0089483D">
        <w:rPr>
          <w:color w:val="000000"/>
          <w:sz w:val="16"/>
          <w:szCs w:val="16"/>
        </w:rPr>
        <w:t>Quando a contratada der causa a inexecução parcial ou total do objeto, a Administração se reserva no direito de contratar, de imediato, a próxima empresa que tenha seus preços cadastrados na Ata de Registro de Preços.</w:t>
      </w:r>
    </w:p>
    <w:p w:rsidR="0089483D" w:rsidRPr="0089483D" w:rsidRDefault="0089483D" w:rsidP="0089483D">
      <w:pPr>
        <w:pStyle w:val="Lista3"/>
        <w:tabs>
          <w:tab w:val="left" w:pos="426"/>
          <w:tab w:val="left" w:pos="709"/>
          <w:tab w:val="left" w:pos="1134"/>
          <w:tab w:val="left" w:pos="1276"/>
          <w:tab w:val="left" w:pos="1560"/>
          <w:tab w:val="left" w:pos="2127"/>
          <w:tab w:val="left" w:pos="2694"/>
        </w:tabs>
        <w:ind w:left="0" w:firstLine="0"/>
        <w:jc w:val="both"/>
        <w:rPr>
          <w:color w:val="000000"/>
          <w:sz w:val="16"/>
          <w:szCs w:val="16"/>
        </w:rPr>
      </w:pPr>
    </w:p>
    <w:p w:rsidR="0089483D" w:rsidRPr="0089483D" w:rsidRDefault="0089483D" w:rsidP="0089483D">
      <w:pPr>
        <w:numPr>
          <w:ilvl w:val="1"/>
          <w:numId w:val="39"/>
        </w:numPr>
        <w:tabs>
          <w:tab w:val="left" w:pos="284"/>
          <w:tab w:val="left" w:pos="426"/>
          <w:tab w:val="left" w:pos="709"/>
        </w:tabs>
        <w:ind w:left="0" w:firstLine="0"/>
        <w:jc w:val="both"/>
        <w:rPr>
          <w:rFonts w:ascii="Arial" w:hAnsi="Arial" w:cs="Arial"/>
          <w:color w:val="000000"/>
          <w:sz w:val="16"/>
          <w:szCs w:val="16"/>
        </w:rPr>
      </w:pPr>
      <w:r w:rsidRPr="0089483D">
        <w:rPr>
          <w:rFonts w:ascii="Arial" w:hAnsi="Arial" w:cs="Arial"/>
          <w:bCs/>
          <w:color w:val="000000"/>
          <w:sz w:val="16"/>
          <w:szCs w:val="16"/>
        </w:rPr>
        <w:t>Nenhuma sanção será aplicada sem o devido processo administrativo, que prevê defesa prévia do interessado e recurso nos prazos definidos em Lei, sendo-lhe franqueada vista ao processo.</w:t>
      </w:r>
    </w:p>
    <w:p w:rsidR="00191834" w:rsidRPr="0089483D" w:rsidRDefault="00191834" w:rsidP="0089483D">
      <w:pPr>
        <w:tabs>
          <w:tab w:val="left" w:pos="426"/>
          <w:tab w:val="left" w:pos="709"/>
        </w:tabs>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3F6E2B" w:rsidP="00526790">
      <w:pPr>
        <w:ind w:right="47"/>
        <w:jc w:val="both"/>
        <w:rPr>
          <w:rFonts w:ascii="Arial" w:hAnsi="Arial" w:cs="Arial"/>
          <w:b/>
          <w:bCs/>
          <w:color w:val="000000"/>
          <w:sz w:val="10"/>
          <w:szCs w:val="10"/>
        </w:rPr>
      </w:pPr>
      <w:r>
        <w:rPr>
          <w:rFonts w:ascii="Arial" w:hAnsi="Arial" w:cs="Arial"/>
          <w:b/>
          <w:bCs/>
          <w:color w:val="000000"/>
          <w:sz w:val="10"/>
          <w:szCs w:val="10"/>
        </w:rPr>
        <w:t>AE</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83D" w:rsidRDefault="0089483D">
      <w:r>
        <w:separator/>
      </w:r>
    </w:p>
  </w:endnote>
  <w:endnote w:type="continuationSeparator" w:id="0">
    <w:p w:rsidR="0089483D" w:rsidRDefault="008948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83D" w:rsidRDefault="0089483D">
      <w:r>
        <w:separator/>
      </w:r>
    </w:p>
  </w:footnote>
  <w:footnote w:type="continuationSeparator" w:id="0">
    <w:p w:rsidR="0089483D" w:rsidRDefault="00894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3D" w:rsidRDefault="0089483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1"/>
  </w:num>
  <w:num w:numId="3">
    <w:abstractNumId w:val="8"/>
  </w:num>
  <w:num w:numId="4">
    <w:abstractNumId w:val="7"/>
  </w:num>
  <w:num w:numId="5">
    <w:abstractNumId w:val="24"/>
  </w:num>
  <w:num w:numId="6">
    <w:abstractNumId w:val="22"/>
  </w:num>
  <w:num w:numId="7">
    <w:abstractNumId w:val="36"/>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2"/>
  </w:num>
  <w:num w:numId="14">
    <w:abstractNumId w:val="39"/>
  </w:num>
  <w:num w:numId="15">
    <w:abstractNumId w:val="3"/>
  </w:num>
  <w:num w:numId="16">
    <w:abstractNumId w:val="4"/>
  </w:num>
  <w:num w:numId="17">
    <w:abstractNumId w:val="23"/>
  </w:num>
  <w:num w:numId="18">
    <w:abstractNumId w:val="38"/>
  </w:num>
  <w:num w:numId="19">
    <w:abstractNumId w:val="15"/>
  </w:num>
  <w:num w:numId="20">
    <w:abstractNumId w:val="34"/>
  </w:num>
  <w:num w:numId="21">
    <w:abstractNumId w:val="9"/>
  </w:num>
  <w:num w:numId="22">
    <w:abstractNumId w:val="17"/>
  </w:num>
  <w:num w:numId="23">
    <w:abstractNumId w:val="26"/>
  </w:num>
  <w:num w:numId="24">
    <w:abstractNumId w:val="29"/>
  </w:num>
  <w:num w:numId="25">
    <w:abstractNumId w:val="28"/>
  </w:num>
  <w:num w:numId="26">
    <w:abstractNumId w:val="1"/>
  </w:num>
  <w:num w:numId="27">
    <w:abstractNumId w:val="2"/>
  </w:num>
  <w:num w:numId="28">
    <w:abstractNumId w:val="12"/>
  </w:num>
  <w:num w:numId="29">
    <w:abstractNumId w:val="10"/>
  </w:num>
  <w:num w:numId="30">
    <w:abstractNumId w:val="33"/>
  </w:num>
  <w:num w:numId="31">
    <w:abstractNumId w:val="31"/>
  </w:num>
  <w:num w:numId="32">
    <w:abstractNumId w:val="19"/>
  </w:num>
  <w:num w:numId="33">
    <w:abstractNumId w:val="27"/>
  </w:num>
  <w:num w:numId="34">
    <w:abstractNumId w:val="18"/>
  </w:num>
  <w:num w:numId="35">
    <w:abstractNumId w:val="35"/>
  </w:num>
  <w:num w:numId="36">
    <w:abstractNumId w:val="5"/>
  </w:num>
  <w:num w:numId="37">
    <w:abstractNumId w:val="14"/>
  </w:num>
  <w:num w:numId="38">
    <w:abstractNumId w:val="25"/>
  </w:num>
  <w:num w:numId="39">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5B75"/>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6E2B"/>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F8769-5C8D-4A76-9794-3D066D5D8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3288</Words>
  <Characters>18175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7</cp:revision>
  <cp:lastPrinted>2017-03-31T11:45:00Z</cp:lastPrinted>
  <dcterms:created xsi:type="dcterms:W3CDTF">2017-03-02T14:45:00Z</dcterms:created>
  <dcterms:modified xsi:type="dcterms:W3CDTF">2017-03-31T11:47:00Z</dcterms:modified>
</cp:coreProperties>
</file>