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B41ACE">
        <w:rPr>
          <w:rFonts w:ascii="Arial" w:hAnsi="Arial" w:cs="Arial"/>
          <w:sz w:val="16"/>
          <w:szCs w:val="16"/>
        </w:rPr>
        <w:t xml:space="preserve">° </w:t>
      </w:r>
      <w:r w:rsidR="00B41ACE" w:rsidRPr="00B41ACE">
        <w:rPr>
          <w:rFonts w:ascii="Arial" w:hAnsi="Arial" w:cs="Arial"/>
          <w:sz w:val="16"/>
          <w:szCs w:val="16"/>
        </w:rPr>
        <w:t>024</w:t>
      </w:r>
      <w:r w:rsidR="008C7613" w:rsidRPr="00B41ACE">
        <w:rPr>
          <w:rFonts w:ascii="Arial" w:hAnsi="Arial" w:cs="Arial"/>
          <w:sz w:val="16"/>
          <w:szCs w:val="16"/>
        </w:rPr>
        <w:t>/201</w:t>
      </w:r>
      <w:r w:rsidR="00B41ACE" w:rsidRPr="00B41ACE">
        <w:rPr>
          <w:rFonts w:ascii="Arial" w:hAnsi="Arial" w:cs="Arial"/>
          <w:sz w:val="16"/>
          <w:szCs w:val="16"/>
        </w:rPr>
        <w:t>7</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80F8F" w:rsidRPr="00480F8F">
        <w:rPr>
          <w:rFonts w:ascii="Arial" w:hAnsi="Arial" w:cs="Arial"/>
          <w:bCs/>
          <w:sz w:val="16"/>
          <w:szCs w:val="16"/>
        </w:rPr>
        <w:t>516</w:t>
      </w:r>
      <w:r w:rsidR="00E41C2D" w:rsidRPr="00480F8F">
        <w:rPr>
          <w:rFonts w:ascii="Arial" w:hAnsi="Arial" w:cs="Arial"/>
          <w:bCs/>
          <w:sz w:val="16"/>
          <w:szCs w:val="16"/>
        </w:rPr>
        <w:t>/</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w:t>
      </w:r>
      <w:r w:rsidR="00480F8F">
        <w:rPr>
          <w:rFonts w:ascii="Arial" w:hAnsi="Arial" w:cs="Arial"/>
          <w:bCs/>
          <w:sz w:val="16"/>
          <w:szCs w:val="16"/>
        </w:rPr>
        <w:t>1712.</w:t>
      </w:r>
      <w:proofErr w:type="gramEnd"/>
      <w:r w:rsidR="00480F8F">
        <w:rPr>
          <w:rFonts w:ascii="Arial" w:hAnsi="Arial" w:cs="Arial"/>
          <w:bCs/>
          <w:sz w:val="16"/>
          <w:szCs w:val="16"/>
        </w:rPr>
        <w:t>05717-00/2016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3A393C">
        <w:rPr>
          <w:rFonts w:ascii="Arial" w:hAnsi="Arial" w:cs="Arial"/>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3A393C">
        <w:rPr>
          <w:rFonts w:ascii="Arial" w:hAnsi="Arial" w:cs="Arial"/>
          <w:color w:val="000000"/>
          <w:sz w:val="16"/>
          <w:szCs w:val="16"/>
        </w:rPr>
        <w:t>REGISTRAR O PREÇ</w:t>
      </w:r>
      <w:r w:rsidR="00F17DD3" w:rsidRPr="003A393C">
        <w:rPr>
          <w:rFonts w:ascii="Arial" w:hAnsi="Arial" w:cs="Arial"/>
          <w:color w:val="000000"/>
          <w:sz w:val="16"/>
          <w:szCs w:val="16"/>
        </w:rPr>
        <w:t xml:space="preserve">O </w:t>
      </w:r>
      <w:r w:rsidR="003A393C" w:rsidRPr="003A393C">
        <w:rPr>
          <w:rFonts w:ascii="Arial" w:hAnsi="Arial" w:cs="Arial"/>
          <w:color w:val="000000"/>
          <w:sz w:val="16"/>
          <w:szCs w:val="16"/>
        </w:rPr>
        <w:t>para futura e eventual aquisição de equipamentos permanentes (Switch), visando atender as necessidades das Unidades HBAP, HJPII, HICD, POC, CEMETRON E HRC</w:t>
      </w:r>
      <w:r w:rsidR="003D417E" w:rsidRPr="003A393C">
        <w:rPr>
          <w:rFonts w:ascii="Arial" w:hAnsi="Arial" w:cs="Arial"/>
          <w:color w:val="000000"/>
          <w:sz w:val="16"/>
          <w:szCs w:val="16"/>
        </w:rPr>
        <w:t xml:space="preserve">, </w:t>
      </w:r>
      <w:r w:rsidR="00D906E5" w:rsidRPr="003A393C">
        <w:rPr>
          <w:rFonts w:ascii="Arial" w:hAnsi="Arial" w:cs="Arial"/>
          <w:color w:val="000000"/>
          <w:sz w:val="16"/>
          <w:szCs w:val="16"/>
        </w:rPr>
        <w:t>a pedido da Secretaria de Estado da Saúde – SESAU/RO</w:t>
      </w:r>
      <w:r w:rsidR="00A62C4C" w:rsidRPr="003A393C">
        <w:rPr>
          <w:rFonts w:ascii="Arial" w:hAnsi="Arial" w:cs="Arial"/>
          <w:color w:val="000000"/>
          <w:sz w:val="16"/>
          <w:szCs w:val="16"/>
        </w:rPr>
        <w:t xml:space="preserve">, por um período de 12 (doze) meses,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3A393C" w:rsidRPr="003A393C">
        <w:rPr>
          <w:rFonts w:ascii="Arial" w:hAnsi="Arial" w:cs="Arial"/>
          <w:color w:val="000000"/>
          <w:sz w:val="16"/>
          <w:szCs w:val="16"/>
        </w:rPr>
        <w:t>para futura e eventual aquisição de eq</w:t>
      </w:r>
      <w:r w:rsidR="00B41ACE">
        <w:rPr>
          <w:rFonts w:ascii="Arial" w:hAnsi="Arial" w:cs="Arial"/>
          <w:color w:val="000000"/>
          <w:sz w:val="16"/>
          <w:szCs w:val="16"/>
        </w:rPr>
        <w:t>uipamentos permanentes (switch</w:t>
      </w:r>
      <w:r w:rsidR="003A393C" w:rsidRPr="003A393C">
        <w:rPr>
          <w:rFonts w:ascii="Arial" w:hAnsi="Arial" w:cs="Arial"/>
          <w:color w:val="000000"/>
          <w:sz w:val="16"/>
          <w:szCs w:val="16"/>
        </w:rPr>
        <w:t>), visando atender as necessidades das Unidades HBAP, HJPII, HICD, POC, CEMETRON E HRC</w:t>
      </w:r>
      <w:r w:rsidR="009E2375" w:rsidRPr="009E2375">
        <w:rPr>
          <w:rFonts w:ascii="Arial" w:hAnsi="Arial" w:cs="Arial"/>
          <w:sz w:val="16"/>
          <w:szCs w:val="16"/>
        </w:rPr>
        <w:t>, a pedido da Secretaria de Estado da Saúde –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480F8F" w:rsidRDefault="004B50C5" w:rsidP="00682DF1">
      <w:pPr>
        <w:pStyle w:val="PargrafodaLista"/>
        <w:ind w:left="0"/>
        <w:jc w:val="both"/>
        <w:rPr>
          <w:rFonts w:ascii="Arial" w:hAnsi="Arial" w:cs="Arial"/>
          <w:sz w:val="16"/>
          <w:szCs w:val="16"/>
        </w:rPr>
      </w:pPr>
      <w:r w:rsidRPr="003A393C">
        <w:rPr>
          <w:rFonts w:ascii="Arial" w:hAnsi="Arial" w:cs="Arial"/>
          <w:bCs/>
          <w:sz w:val="16"/>
          <w:szCs w:val="16"/>
        </w:rPr>
        <w:t>6.3</w:t>
      </w:r>
      <w:r w:rsidRPr="009E2375">
        <w:rPr>
          <w:rFonts w:ascii="Arial" w:hAnsi="Arial" w:cs="Arial"/>
          <w:b/>
          <w:bCs/>
          <w:sz w:val="16"/>
          <w:szCs w:val="16"/>
        </w:rPr>
        <w:t xml:space="preserve"> </w:t>
      </w:r>
      <w:r w:rsidR="00682DF1" w:rsidRPr="009E2375">
        <w:rPr>
          <w:rFonts w:ascii="Arial" w:hAnsi="Arial" w:cs="Arial"/>
          <w:b/>
          <w:sz w:val="16"/>
          <w:szCs w:val="16"/>
        </w:rPr>
        <w:t>DO PRAZO DE ENTREGA</w:t>
      </w:r>
      <w:r w:rsidR="00682DF1" w:rsidRPr="009E2375">
        <w:rPr>
          <w:rFonts w:ascii="Arial" w:hAnsi="Arial" w:cs="Arial"/>
          <w:sz w:val="16"/>
          <w:szCs w:val="16"/>
        </w:rPr>
        <w:t xml:space="preserve">: </w:t>
      </w:r>
      <w:r w:rsidR="00480F8F" w:rsidRPr="00480F8F">
        <w:rPr>
          <w:rFonts w:ascii="Arial" w:hAnsi="Arial" w:cs="Arial"/>
          <w:sz w:val="16"/>
          <w:szCs w:val="16"/>
        </w:rPr>
        <w:t xml:space="preserve">O prazo de início da entrega deve ser no máximo de </w:t>
      </w:r>
      <w:r w:rsidR="00480F8F" w:rsidRPr="00480F8F">
        <w:rPr>
          <w:rFonts w:ascii="Arial" w:hAnsi="Arial" w:cs="Arial"/>
          <w:b/>
          <w:sz w:val="16"/>
          <w:szCs w:val="16"/>
        </w:rPr>
        <w:t>30 (trinta) dias</w:t>
      </w:r>
      <w:r w:rsidR="00480F8F" w:rsidRPr="00480F8F">
        <w:rPr>
          <w:rFonts w:ascii="Arial" w:hAnsi="Arial" w:cs="Arial"/>
          <w:sz w:val="16"/>
          <w:szCs w:val="16"/>
        </w:rPr>
        <w:t>, contados após o recebimento da Nota de Empenho</w:t>
      </w:r>
      <w:r w:rsidR="00682DF1" w:rsidRPr="00480F8F">
        <w:rPr>
          <w:rFonts w:ascii="Arial" w:hAnsi="Arial" w:cs="Arial"/>
          <w:sz w:val="16"/>
          <w:szCs w:val="16"/>
        </w:rPr>
        <w:t>.</w:t>
      </w:r>
    </w:p>
    <w:p w:rsidR="00682DF1" w:rsidRPr="009E2375" w:rsidRDefault="00682DF1" w:rsidP="00682DF1">
      <w:pPr>
        <w:pStyle w:val="Corpodetexto3"/>
        <w:tabs>
          <w:tab w:val="left" w:pos="426"/>
        </w:tabs>
        <w:ind w:right="47"/>
        <w:rPr>
          <w:rFonts w:ascii="Arial" w:hAnsi="Arial" w:cs="Arial"/>
          <w:color w:val="FF0000"/>
          <w:sz w:val="16"/>
          <w:szCs w:val="16"/>
        </w:rPr>
      </w:pPr>
    </w:p>
    <w:p w:rsidR="00682DF1" w:rsidRPr="009E2375" w:rsidRDefault="00682DF1" w:rsidP="00682DF1">
      <w:pPr>
        <w:jc w:val="both"/>
        <w:rPr>
          <w:rFonts w:ascii="Arial" w:hAnsi="Arial" w:cs="Arial"/>
          <w:b/>
          <w:iCs/>
          <w:color w:val="000000"/>
          <w:sz w:val="16"/>
          <w:szCs w:val="16"/>
        </w:rPr>
      </w:pPr>
      <w:r w:rsidRPr="009E2375">
        <w:rPr>
          <w:rFonts w:ascii="Arial" w:hAnsi="Arial" w:cs="Arial"/>
          <w:sz w:val="16"/>
          <w:szCs w:val="16"/>
        </w:rPr>
        <w:t>6.4.</w:t>
      </w:r>
      <w:r w:rsidRPr="009E2375">
        <w:rPr>
          <w:rFonts w:ascii="Arial" w:hAnsi="Arial" w:cs="Arial"/>
          <w:b/>
          <w:sz w:val="16"/>
          <w:szCs w:val="16"/>
        </w:rPr>
        <w:t xml:space="preserve"> DO LOCAL DE ENTREGA:</w:t>
      </w:r>
      <w:r w:rsidRPr="009E2375">
        <w:rPr>
          <w:rFonts w:ascii="Arial" w:hAnsi="Arial" w:cs="Arial"/>
          <w:sz w:val="16"/>
          <w:szCs w:val="16"/>
        </w:rPr>
        <w:t xml:space="preserve"> </w:t>
      </w:r>
      <w:r w:rsidR="00480F8F" w:rsidRPr="00480F8F">
        <w:rPr>
          <w:rFonts w:ascii="Arial" w:hAnsi="Arial" w:cs="Arial"/>
          <w:sz w:val="16"/>
          <w:szCs w:val="16"/>
        </w:rPr>
        <w:t>Os</w:t>
      </w:r>
      <w:r w:rsidR="00480F8F" w:rsidRPr="00E86522">
        <w:rPr>
          <w:sz w:val="22"/>
          <w:szCs w:val="22"/>
        </w:rPr>
        <w:t xml:space="preserve"> </w:t>
      </w:r>
      <w:r w:rsidR="00480F8F" w:rsidRPr="00480F8F">
        <w:rPr>
          <w:rFonts w:ascii="Arial" w:hAnsi="Arial" w:cs="Arial"/>
          <w:sz w:val="16"/>
          <w:szCs w:val="16"/>
        </w:rPr>
        <w:t xml:space="preserve">equipamentos, objeto da presente Licitação, </w:t>
      </w:r>
      <w:r w:rsidR="00480F8F" w:rsidRPr="00480F8F">
        <w:rPr>
          <w:rFonts w:ascii="Arial" w:hAnsi="Arial" w:cs="Arial"/>
          <w:bCs/>
          <w:sz w:val="16"/>
          <w:szCs w:val="16"/>
        </w:rPr>
        <w:t>deverão ser entregues</w:t>
      </w:r>
      <w:r w:rsidR="00480F8F" w:rsidRPr="00480F8F">
        <w:rPr>
          <w:rFonts w:ascii="Arial" w:hAnsi="Arial" w:cs="Arial"/>
          <w:b/>
          <w:bCs/>
          <w:sz w:val="16"/>
          <w:szCs w:val="16"/>
        </w:rPr>
        <w:t xml:space="preserve"> </w:t>
      </w:r>
      <w:r w:rsidR="00480F8F" w:rsidRPr="00480F8F">
        <w:rPr>
          <w:rFonts w:ascii="Arial" w:hAnsi="Arial" w:cs="Arial"/>
          <w:sz w:val="16"/>
          <w:szCs w:val="16"/>
        </w:rPr>
        <w:t xml:space="preserve">com frete CIF, no (s) seguinte (s) local (is): no Almoxarifado Central localizado sito a Av. Rio Madeira, 603, Bairro Nova Porto Velho, no horário das </w:t>
      </w:r>
      <w:proofErr w:type="gramStart"/>
      <w:r w:rsidR="00480F8F" w:rsidRPr="00480F8F">
        <w:rPr>
          <w:rFonts w:ascii="Arial" w:hAnsi="Arial" w:cs="Arial"/>
          <w:sz w:val="16"/>
          <w:szCs w:val="16"/>
        </w:rPr>
        <w:t>07:30</w:t>
      </w:r>
      <w:proofErr w:type="gramEnd"/>
      <w:r w:rsidR="00480F8F" w:rsidRPr="00480F8F">
        <w:rPr>
          <w:rFonts w:ascii="Arial" w:hAnsi="Arial" w:cs="Arial"/>
          <w:sz w:val="16"/>
          <w:szCs w:val="16"/>
        </w:rPr>
        <w:t>h as 13:30h e de segunda a sexta-feira</w:t>
      </w:r>
      <w:r w:rsidR="008B6DA4" w:rsidRPr="00480F8F">
        <w:rPr>
          <w:rFonts w:ascii="Arial" w:hAnsi="Arial" w:cs="Arial"/>
          <w:b/>
          <w:sz w:val="16"/>
          <w:szCs w:val="16"/>
        </w:rPr>
        <w:t>.</w:t>
      </w: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devolução da nota fiscal não aprovada, em hipótese alguma, servirá de pretexto para que a empresa detentora da Ata suspenda quaisquer fornecimentos.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O Estado de Rondônia, através dos órgãos requisitantes, providenciará o pagamento no prazo de até 30</w:t>
      </w:r>
      <w:r w:rsidRPr="009E2375">
        <w:rPr>
          <w:rFonts w:ascii="Arial" w:hAnsi="Arial" w:cs="Arial"/>
          <w:b/>
          <w:bCs/>
          <w:sz w:val="16"/>
          <w:szCs w:val="16"/>
        </w:rPr>
        <w:t xml:space="preserve"> (trinta) dias corridos</w:t>
      </w:r>
      <w:r w:rsidRPr="009E2375">
        <w:rPr>
          <w:rFonts w:ascii="Arial" w:hAnsi="Arial" w:cs="Arial"/>
          <w:sz w:val="16"/>
          <w:szCs w:val="16"/>
        </w:rPr>
        <w:t>, contada da data do aceite da nota fiscal.</w:t>
      </w:r>
    </w:p>
    <w:p w:rsidR="009D2314" w:rsidRPr="009E2375" w:rsidRDefault="009D2314" w:rsidP="009D2314">
      <w:pPr>
        <w:pStyle w:val="Corpodetexto2"/>
        <w:ind w:right="-1" w:firstLine="0"/>
        <w:rPr>
          <w:sz w:val="16"/>
          <w:szCs w:val="16"/>
        </w:rPr>
      </w:pPr>
    </w:p>
    <w:p w:rsidR="009D2314" w:rsidRPr="009E2375" w:rsidRDefault="009D2314" w:rsidP="009D2314">
      <w:pPr>
        <w:pStyle w:val="NormalWeb"/>
        <w:spacing w:before="0" w:beforeAutospacing="0" w:after="0" w:afterAutospacing="0"/>
        <w:jc w:val="both"/>
        <w:rPr>
          <w:rFonts w:ascii="Arial" w:hAnsi="Arial" w:cs="Arial"/>
          <w:b/>
          <w:bCs/>
          <w:sz w:val="16"/>
          <w:szCs w:val="16"/>
        </w:rPr>
      </w:pPr>
      <w:r w:rsidRPr="009E2375">
        <w:rPr>
          <w:rFonts w:ascii="Arial" w:hAnsi="Arial" w:cs="Arial"/>
          <w:b/>
          <w:bCs/>
          <w:sz w:val="16"/>
          <w:szCs w:val="16"/>
        </w:rPr>
        <w:t>8.  DA DOTAÇÃO ORÇAMENTÁRIA</w:t>
      </w:r>
    </w:p>
    <w:p w:rsidR="009D2314" w:rsidRPr="009E2375" w:rsidRDefault="009D2314" w:rsidP="009D2314">
      <w:pPr>
        <w:pStyle w:val="NormalWeb"/>
        <w:spacing w:before="0" w:beforeAutospacing="0" w:after="0" w:afterAutospacing="0"/>
        <w:jc w:val="both"/>
        <w:rPr>
          <w:rFonts w:ascii="Arial" w:hAnsi="Arial" w:cs="Arial"/>
          <w:b/>
          <w:bCs/>
          <w:sz w:val="16"/>
          <w:szCs w:val="16"/>
        </w:rPr>
      </w:pPr>
    </w:p>
    <w:p w:rsidR="009D2314" w:rsidRPr="009E2375" w:rsidRDefault="009D2314" w:rsidP="00160FBE">
      <w:pPr>
        <w:pStyle w:val="NormalWeb"/>
        <w:numPr>
          <w:ilvl w:val="1"/>
          <w:numId w:val="4"/>
        </w:numPr>
        <w:spacing w:before="0" w:beforeAutospacing="0" w:after="0" w:afterAutospacing="0"/>
        <w:jc w:val="both"/>
        <w:rPr>
          <w:rFonts w:ascii="Arial" w:hAnsi="Arial" w:cs="Arial"/>
          <w:sz w:val="16"/>
          <w:szCs w:val="16"/>
        </w:rPr>
      </w:pPr>
      <w:r w:rsidRPr="009E237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9E2375"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480F8F">
      <w:pPr>
        <w:pStyle w:val="Lista2"/>
        <w:numPr>
          <w:ilvl w:val="0"/>
          <w:numId w:val="4"/>
        </w:numPr>
        <w:jc w:val="both"/>
        <w:rPr>
          <w:b/>
          <w:bCs/>
          <w:sz w:val="16"/>
          <w:szCs w:val="16"/>
        </w:rPr>
      </w:pPr>
      <w:r w:rsidRPr="009E2375">
        <w:rPr>
          <w:b/>
          <w:bCs/>
          <w:sz w:val="16"/>
          <w:szCs w:val="16"/>
        </w:rPr>
        <w:t>DAS SANÇÕES NO CASO DE INADIMPLÊNCIA E DO CANCELAMENTO DO REGISTRO DE PREÇOS</w:t>
      </w:r>
    </w:p>
    <w:p w:rsidR="00480F8F" w:rsidRDefault="00480F8F" w:rsidP="00480F8F">
      <w:pPr>
        <w:pStyle w:val="Lista2"/>
        <w:ind w:left="0" w:firstLine="0"/>
        <w:jc w:val="both"/>
        <w:rPr>
          <w:b/>
          <w:bCs/>
          <w:sz w:val="16"/>
          <w:szCs w:val="16"/>
        </w:rPr>
      </w:pPr>
    </w:p>
    <w:p w:rsidR="00480F8F" w:rsidRPr="00480F8F" w:rsidRDefault="00480F8F" w:rsidP="00480F8F">
      <w:pPr>
        <w:pStyle w:val="Lista2"/>
        <w:ind w:left="0" w:firstLine="0"/>
        <w:jc w:val="both"/>
        <w:rPr>
          <w:bCs/>
          <w:sz w:val="16"/>
          <w:szCs w:val="16"/>
        </w:rPr>
      </w:pPr>
      <w:r>
        <w:rPr>
          <w:sz w:val="16"/>
          <w:szCs w:val="16"/>
        </w:rPr>
        <w:t xml:space="preserve">9.1 </w:t>
      </w:r>
      <w:r w:rsidRPr="00480F8F">
        <w:rPr>
          <w:sz w:val="16"/>
          <w:szCs w:val="16"/>
        </w:rPr>
        <w:t>Pela inexecução total ou parcial das obrigações assumidas, garantidas a prévia defesa, a Administração poderá aplicar a Contratada as seguintes sanções:</w:t>
      </w:r>
    </w:p>
    <w:p w:rsidR="00480F8F" w:rsidRPr="00480F8F" w:rsidRDefault="00480F8F" w:rsidP="004876F7">
      <w:pPr>
        <w:pStyle w:val="Lista2"/>
        <w:ind w:left="0" w:firstLine="0"/>
        <w:rPr>
          <w:bCs/>
          <w:sz w:val="16"/>
          <w:szCs w:val="16"/>
        </w:rPr>
      </w:pP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 xml:space="preserve">Advertência </w:t>
      </w:r>
      <w:r w:rsidRPr="00480F8F">
        <w:rPr>
          <w:rFonts w:ascii="Arial" w:hAnsi="Arial" w:cs="Arial"/>
          <w:sz w:val="16"/>
          <w:szCs w:val="16"/>
        </w:rPr>
        <w:t>por escrito, quando Contratada praticar irregularidades de pequena monta;</w:t>
      </w: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Multa</w:t>
      </w:r>
      <w:r w:rsidRPr="00480F8F">
        <w:rPr>
          <w:rFonts w:ascii="Arial" w:hAnsi="Arial" w:cs="Arial"/>
          <w:sz w:val="16"/>
          <w:szCs w:val="16"/>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Suspensão temporária</w:t>
      </w:r>
      <w:r w:rsidRPr="00480F8F">
        <w:rPr>
          <w:rFonts w:ascii="Arial" w:hAnsi="Arial" w:cs="Arial"/>
          <w:sz w:val="16"/>
          <w:szCs w:val="16"/>
        </w:rPr>
        <w:t xml:space="preserve"> de participação em licitação, impedimento de contratar com a Administração, até o prazo de dois anos;</w:t>
      </w: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Declaração de inidoneidade</w:t>
      </w:r>
      <w:r w:rsidRPr="00480F8F">
        <w:rPr>
          <w:rFonts w:ascii="Arial" w:hAnsi="Arial" w:cs="Arial"/>
          <w:sz w:val="16"/>
          <w:szCs w:val="16"/>
        </w:rPr>
        <w:t xml:space="preserve"> para licitar e contratar com a Administração Pública, enquanto perdurarem os motivos determinantes da punição ou até que seja promovida a reabilitação, na forma da lei, perante a própria autoridade que aplicou a penalidade.</w:t>
      </w:r>
    </w:p>
    <w:p w:rsidR="00480F8F" w:rsidRPr="00480F8F" w:rsidRDefault="00480F8F" w:rsidP="00480F8F">
      <w:pPr>
        <w:ind w:left="540"/>
        <w:jc w:val="both"/>
        <w:rPr>
          <w:rFonts w:ascii="Arial" w:hAnsi="Arial" w:cs="Arial"/>
          <w:sz w:val="16"/>
          <w:szCs w:val="16"/>
        </w:rPr>
      </w:pPr>
    </w:p>
    <w:p w:rsidR="00480F8F" w:rsidRPr="00480F8F" w:rsidRDefault="00480F8F" w:rsidP="00480F8F">
      <w:pPr>
        <w:pStyle w:val="Recuodecorpodetexto"/>
        <w:ind w:left="0"/>
        <w:jc w:val="both"/>
        <w:rPr>
          <w:rFonts w:ascii="Arial" w:hAnsi="Arial" w:cs="Arial"/>
          <w:sz w:val="16"/>
          <w:szCs w:val="16"/>
          <w:lang w:val="pt-BR"/>
        </w:rPr>
      </w:pPr>
      <w:r>
        <w:rPr>
          <w:rFonts w:ascii="Arial" w:hAnsi="Arial" w:cs="Arial"/>
          <w:sz w:val="16"/>
          <w:szCs w:val="16"/>
          <w:lang w:val="pt-BR"/>
        </w:rPr>
        <w:t>9</w:t>
      </w:r>
      <w:r w:rsidRPr="00480F8F">
        <w:rPr>
          <w:rFonts w:ascii="Arial" w:hAnsi="Arial" w:cs="Arial"/>
          <w:sz w:val="16"/>
          <w:szCs w:val="16"/>
          <w:lang w:val="pt-BR"/>
        </w:rPr>
        <w:t>.2.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480F8F" w:rsidRPr="00480F8F" w:rsidRDefault="00480F8F" w:rsidP="00480F8F">
      <w:pPr>
        <w:tabs>
          <w:tab w:val="num" w:pos="180"/>
        </w:tabs>
        <w:jc w:val="both"/>
        <w:rPr>
          <w:rFonts w:ascii="Arial" w:hAnsi="Arial" w:cs="Arial"/>
          <w:sz w:val="16"/>
          <w:szCs w:val="16"/>
        </w:rPr>
      </w:pPr>
    </w:p>
    <w:p w:rsidR="00480F8F" w:rsidRPr="00480F8F" w:rsidRDefault="00480F8F" w:rsidP="00480F8F">
      <w:pPr>
        <w:tabs>
          <w:tab w:val="num" w:pos="180"/>
        </w:tabs>
        <w:jc w:val="both"/>
        <w:rPr>
          <w:rFonts w:ascii="Arial" w:hAnsi="Arial" w:cs="Arial"/>
          <w:sz w:val="16"/>
          <w:szCs w:val="16"/>
        </w:rPr>
      </w:pPr>
      <w:r>
        <w:rPr>
          <w:rFonts w:ascii="Arial" w:hAnsi="Arial" w:cs="Arial"/>
          <w:sz w:val="16"/>
          <w:szCs w:val="16"/>
        </w:rPr>
        <w:t>9</w:t>
      </w:r>
      <w:r w:rsidRPr="00480F8F">
        <w:rPr>
          <w:rFonts w:ascii="Arial" w:hAnsi="Arial" w:cs="Arial"/>
          <w:sz w:val="16"/>
          <w:szCs w:val="16"/>
        </w:rPr>
        <w:t xml:space="preserve">.3. Pela recusa do adjudicatário em retirar e/ou assinar o instrumento </w:t>
      </w:r>
      <w:proofErr w:type="spellStart"/>
      <w:r w:rsidRPr="00480F8F">
        <w:rPr>
          <w:rFonts w:ascii="Arial" w:hAnsi="Arial" w:cs="Arial"/>
          <w:sz w:val="16"/>
          <w:szCs w:val="16"/>
        </w:rPr>
        <w:t>formalizador</w:t>
      </w:r>
      <w:proofErr w:type="spellEnd"/>
      <w:r w:rsidRPr="00480F8F">
        <w:rPr>
          <w:rFonts w:ascii="Arial" w:hAnsi="Arial" w:cs="Arial"/>
          <w:sz w:val="16"/>
          <w:szCs w:val="16"/>
        </w:rPr>
        <w:t xml:space="preserve"> da avença, este ficará sujeito ao pagamento de 10% (dez por cento) do valor total do fornecimento a título de indenização, com exceção dos casos fortuitos ou de força maior.</w:t>
      </w:r>
    </w:p>
    <w:p w:rsidR="00480F8F" w:rsidRPr="00480F8F" w:rsidRDefault="00480F8F" w:rsidP="00480F8F">
      <w:pPr>
        <w:tabs>
          <w:tab w:val="num" w:pos="180"/>
        </w:tabs>
        <w:jc w:val="both"/>
        <w:rPr>
          <w:rFonts w:ascii="Arial" w:hAnsi="Arial" w:cs="Arial"/>
          <w:sz w:val="16"/>
          <w:szCs w:val="16"/>
        </w:rPr>
      </w:pPr>
    </w:p>
    <w:p w:rsidR="00480F8F" w:rsidRPr="00480F8F" w:rsidRDefault="00480F8F" w:rsidP="00480F8F">
      <w:pPr>
        <w:pStyle w:val="Textoembloco"/>
        <w:spacing w:line="240" w:lineRule="auto"/>
        <w:ind w:left="0" w:right="0"/>
        <w:rPr>
          <w:rFonts w:ascii="Arial" w:hAnsi="Arial" w:cs="Arial"/>
          <w:sz w:val="16"/>
          <w:szCs w:val="16"/>
        </w:rPr>
      </w:pPr>
      <w:r>
        <w:rPr>
          <w:rFonts w:ascii="Arial" w:hAnsi="Arial" w:cs="Arial"/>
          <w:sz w:val="16"/>
          <w:szCs w:val="16"/>
        </w:rPr>
        <w:t>9</w:t>
      </w:r>
      <w:r w:rsidRPr="00480F8F">
        <w:rPr>
          <w:rFonts w:ascii="Arial" w:hAnsi="Arial" w:cs="Arial"/>
          <w:sz w:val="16"/>
          <w:szCs w:val="16"/>
        </w:rPr>
        <w:t>.4. As penalidades previstas no item anterior não se aplicarão as licitantes remanescentes convocadas em virtude da não aceitação da primeira colocada, ressalvado o caso de inadimplemento contratual, após a contratação de qualquer das empresas.</w:t>
      </w:r>
    </w:p>
    <w:p w:rsidR="00480F8F" w:rsidRPr="00480F8F" w:rsidRDefault="00480F8F" w:rsidP="00480F8F">
      <w:pPr>
        <w:pStyle w:val="Recuodecorpodetexto"/>
        <w:jc w:val="both"/>
        <w:rPr>
          <w:rFonts w:ascii="Arial" w:hAnsi="Arial" w:cs="Arial"/>
          <w:sz w:val="16"/>
          <w:szCs w:val="16"/>
          <w:lang w:val="pt-BR"/>
        </w:rPr>
      </w:pPr>
    </w:p>
    <w:p w:rsidR="00480F8F" w:rsidRPr="00480F8F" w:rsidRDefault="00480F8F" w:rsidP="00480F8F">
      <w:pPr>
        <w:pStyle w:val="Recuodecorpodetexto"/>
        <w:ind w:left="0"/>
        <w:jc w:val="both"/>
        <w:rPr>
          <w:rFonts w:ascii="Arial" w:hAnsi="Arial" w:cs="Arial"/>
          <w:sz w:val="16"/>
          <w:szCs w:val="16"/>
          <w:lang w:val="pt-BR"/>
        </w:rPr>
      </w:pPr>
      <w:r>
        <w:rPr>
          <w:rFonts w:ascii="Arial" w:hAnsi="Arial" w:cs="Arial"/>
          <w:sz w:val="16"/>
          <w:szCs w:val="16"/>
          <w:lang w:val="pt-BR"/>
        </w:rPr>
        <w:t>9</w:t>
      </w:r>
      <w:r w:rsidRPr="00480F8F">
        <w:rPr>
          <w:rFonts w:ascii="Arial" w:hAnsi="Arial" w:cs="Arial"/>
          <w:sz w:val="16"/>
          <w:szCs w:val="16"/>
          <w:lang w:val="pt-BR"/>
        </w:rPr>
        <w:t>.5.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480F8F" w:rsidRDefault="00480F8F" w:rsidP="004876F7">
      <w:pPr>
        <w:pStyle w:val="Lista2"/>
        <w:ind w:left="0" w:firstLine="0"/>
        <w:rPr>
          <w:b/>
          <w:bCs/>
          <w:sz w:val="16"/>
          <w:szCs w:val="16"/>
        </w:rPr>
      </w:pPr>
    </w:p>
    <w:p w:rsidR="009D2314" w:rsidRPr="00E13289" w:rsidRDefault="008E4E8A" w:rsidP="00480F8F">
      <w:pPr>
        <w:pStyle w:val="Lista2"/>
        <w:ind w:left="0" w:firstLine="0"/>
        <w:rPr>
          <w:b/>
          <w:bCs/>
          <w:color w:val="000000"/>
          <w:sz w:val="16"/>
          <w:szCs w:val="16"/>
        </w:rPr>
      </w:pPr>
      <w:r w:rsidRPr="009E2375">
        <w:rPr>
          <w:b/>
          <w:bCs/>
          <w:sz w:val="16"/>
          <w:szCs w:val="16"/>
        </w:rPr>
        <w:t xml:space="preserve"> </w:t>
      </w:r>
      <w:r w:rsidR="00611D2B">
        <w:rPr>
          <w:b/>
          <w:bCs/>
          <w:color w:val="000000"/>
          <w:sz w:val="16"/>
          <w:szCs w:val="16"/>
        </w:rPr>
        <w:t xml:space="preserve">10 </w:t>
      </w:r>
      <w:r w:rsidR="00A41308" w:rsidRPr="00E13289">
        <w:rPr>
          <w:b/>
          <w:bCs/>
          <w:color w:val="000000"/>
          <w:sz w:val="16"/>
          <w:szCs w:val="16"/>
        </w:rPr>
        <w:t>–</w:t>
      </w:r>
      <w:r w:rsidR="009D2314" w:rsidRPr="00E13289">
        <w:rPr>
          <w:b/>
          <w:bCs/>
          <w:color w:val="000000"/>
          <w:sz w:val="16"/>
          <w:szCs w:val="16"/>
        </w:rPr>
        <w:t xml:space="preserve"> </w:t>
      </w:r>
      <w:r w:rsidR="00A41308" w:rsidRPr="00E13289">
        <w:rPr>
          <w:b/>
          <w:bCs/>
          <w:color w:val="000000"/>
          <w:sz w:val="16"/>
          <w:szCs w:val="16"/>
        </w:rPr>
        <w:t xml:space="preserve">DA </w:t>
      </w:r>
      <w:r w:rsidR="009D2314" w:rsidRPr="00E13289">
        <w:rPr>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480F8F" w:rsidRDefault="00480F8F"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A41308"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Pr="00C50BF7" w:rsidRDefault="00480F8F" w:rsidP="00526790">
      <w:pPr>
        <w:ind w:right="47"/>
        <w:jc w:val="both"/>
        <w:rPr>
          <w:rFonts w:ascii="Arial" w:hAnsi="Arial" w:cs="Arial"/>
          <w:b/>
          <w:bCs/>
          <w:color w:val="000000"/>
          <w:sz w:val="10"/>
          <w:szCs w:val="10"/>
        </w:rPr>
      </w:pPr>
      <w:r>
        <w:rPr>
          <w:rFonts w:ascii="Arial" w:hAnsi="Arial" w:cs="Arial"/>
          <w:b/>
          <w:bCs/>
          <w:color w:val="000000"/>
          <w:sz w:val="10"/>
          <w:szCs w:val="10"/>
        </w:rPr>
        <w:t>AE/S</w:t>
      </w:r>
      <w:r w:rsidR="00D906E5">
        <w:rPr>
          <w:rFonts w:ascii="Arial" w:hAnsi="Arial" w:cs="Arial"/>
          <w:b/>
          <w:bCs/>
          <w:color w:val="000000"/>
          <w:sz w:val="10"/>
          <w:szCs w:val="10"/>
        </w:rPr>
        <w:t>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40771F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4"/>
  </w:num>
  <w:num w:numId="5">
    <w:abstractNumId w:val="15"/>
  </w:num>
  <w:num w:numId="6">
    <w:abstractNumId w:val="13"/>
  </w:num>
  <w:num w:numId="7">
    <w:abstractNumId w:val="19"/>
  </w:num>
  <w:num w:numId="8">
    <w:abstractNumId w:val="10"/>
  </w:num>
  <w:num w:numId="9">
    <w:abstractNumId w:val="11"/>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9"/>
  </w:num>
  <w:num w:numId="19">
    <w:abstractNumId w:val="18"/>
  </w:num>
  <w:num w:numId="20">
    <w:abstractNumId w:val="8"/>
  </w:num>
  <w:num w:numId="21">
    <w:abstractNumId w:val="14"/>
  </w:num>
  <w:num w:numId="22">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6CF5"/>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393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0F8F"/>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6D9A"/>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1ACE"/>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C72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paragraph" w:styleId="Textoembloco">
    <w:name w:val="Block Text"/>
    <w:basedOn w:val="Normal"/>
    <w:rsid w:val="00480F8F"/>
    <w:pPr>
      <w:spacing w:line="400" w:lineRule="exact"/>
      <w:ind w:left="170" w:right="170"/>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FF0A9-473C-43B1-8465-E7D25F51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2268</Words>
  <Characters>12632</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29</cp:revision>
  <cp:lastPrinted>2017-02-07T12:32:00Z</cp:lastPrinted>
  <dcterms:created xsi:type="dcterms:W3CDTF">2016-03-03T11:34:00Z</dcterms:created>
  <dcterms:modified xsi:type="dcterms:W3CDTF">2017-02-07T12:32:00Z</dcterms:modified>
</cp:coreProperties>
</file>