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9B5FB9" w:rsidP="003308E2">
      <w:pPr>
        <w:pStyle w:val="Ttulo2"/>
        <w:ind w:firstLine="284"/>
        <w:rPr>
          <w:sz w:val="22"/>
          <w:szCs w:val="22"/>
        </w:rPr>
      </w:pPr>
      <w:r>
        <w:rPr>
          <w:sz w:val="22"/>
          <w:szCs w:val="22"/>
        </w:rPr>
        <w:t>RESPOSTA DE PED</w:t>
      </w:r>
      <w:r w:rsidR="00DF5DED">
        <w:rPr>
          <w:sz w:val="22"/>
          <w:szCs w:val="22"/>
        </w:rPr>
        <w:t>IDO DE ESCLARECIMENTO/IMPUGNAÇÃO</w:t>
      </w:r>
    </w:p>
    <w:p w:rsidR="003308E2" w:rsidRDefault="003308E2" w:rsidP="003308E2"/>
    <w:p w:rsidR="00752D29" w:rsidRPr="003308E2" w:rsidRDefault="00752D29" w:rsidP="003308E2"/>
    <w:p w:rsidR="007E6810" w:rsidRDefault="007E6810" w:rsidP="007E6810">
      <w:pPr>
        <w:pStyle w:val="Ttulo2"/>
        <w:jc w:val="both"/>
        <w:rPr>
          <w:i/>
          <w:sz w:val="22"/>
          <w:szCs w:val="22"/>
        </w:rPr>
      </w:pPr>
      <w:r>
        <w:rPr>
          <w:sz w:val="22"/>
          <w:szCs w:val="22"/>
        </w:rPr>
        <w:t>PREGÃO ELETRÔNICO Nº 38</w:t>
      </w:r>
      <w:r w:rsidR="009A71EA">
        <w:rPr>
          <w:sz w:val="22"/>
          <w:szCs w:val="22"/>
        </w:rPr>
        <w:t>6</w:t>
      </w:r>
      <w:r>
        <w:rPr>
          <w:sz w:val="22"/>
          <w:szCs w:val="22"/>
        </w:rPr>
        <w:t>/2016/SUPEL/RO</w:t>
      </w:r>
    </w:p>
    <w:p w:rsidR="007E6810" w:rsidRDefault="007E6810" w:rsidP="007E6810">
      <w:pPr>
        <w:ind w:right="-1"/>
        <w:rPr>
          <w:b/>
          <w:bCs/>
          <w:sz w:val="22"/>
          <w:szCs w:val="22"/>
        </w:rPr>
      </w:pPr>
      <w:r>
        <w:rPr>
          <w:b/>
          <w:bCs/>
          <w:sz w:val="21"/>
          <w:szCs w:val="21"/>
        </w:rPr>
        <w:t xml:space="preserve">PROCESSO ADMINISTRATIVO Nº </w:t>
      </w:r>
      <w:r>
        <w:rPr>
          <w:b/>
          <w:bCs/>
          <w:sz w:val="22"/>
          <w:szCs w:val="22"/>
        </w:rPr>
        <w:t>1</w:t>
      </w:r>
      <w:r w:rsidR="009A71EA">
        <w:rPr>
          <w:b/>
          <w:bCs/>
          <w:sz w:val="22"/>
          <w:szCs w:val="22"/>
        </w:rPr>
        <w:t>6.0004.00273</w:t>
      </w:r>
      <w:r>
        <w:rPr>
          <w:b/>
          <w:bCs/>
          <w:sz w:val="22"/>
          <w:szCs w:val="22"/>
        </w:rPr>
        <w:t>-00/2016</w:t>
      </w:r>
      <w:r w:rsidR="009A71EA">
        <w:rPr>
          <w:b/>
          <w:bCs/>
          <w:sz w:val="22"/>
          <w:szCs w:val="22"/>
        </w:rPr>
        <w:t>/SEJUCEL</w:t>
      </w:r>
    </w:p>
    <w:p w:rsidR="007E6810" w:rsidRPr="00B52CDD" w:rsidRDefault="007E6810" w:rsidP="007E6810">
      <w:pPr>
        <w:rPr>
          <w:b/>
          <w:i/>
          <w:sz w:val="22"/>
          <w:szCs w:val="22"/>
        </w:rPr>
      </w:pPr>
      <w:r>
        <w:rPr>
          <w:b/>
          <w:sz w:val="21"/>
          <w:szCs w:val="21"/>
        </w:rPr>
        <w:t>OBJETO:</w:t>
      </w:r>
      <w:r w:rsidRPr="00094823">
        <w:rPr>
          <w:i/>
          <w:sz w:val="22"/>
          <w:szCs w:val="22"/>
        </w:rPr>
        <w:t xml:space="preserve"> </w:t>
      </w:r>
      <w:r w:rsidRPr="001D5632">
        <w:rPr>
          <w:i/>
          <w:sz w:val="22"/>
          <w:szCs w:val="22"/>
        </w:rPr>
        <w:t>“</w:t>
      </w:r>
      <w:r w:rsidR="009A71EA" w:rsidRPr="009A71EA">
        <w:rPr>
          <w:i/>
          <w:sz w:val="22"/>
          <w:szCs w:val="22"/>
        </w:rPr>
        <w:t xml:space="preserve">Contratação de empresa especializada para prestação de </w:t>
      </w:r>
      <w:r w:rsidR="009A71EA" w:rsidRPr="009A71EA">
        <w:rPr>
          <w:b/>
          <w:i/>
          <w:sz w:val="22"/>
          <w:szCs w:val="22"/>
        </w:rPr>
        <w:t>serviços de locação de estrutura</w:t>
      </w:r>
      <w:r w:rsidR="009A71EA" w:rsidRPr="009A71EA">
        <w:rPr>
          <w:i/>
          <w:sz w:val="22"/>
          <w:szCs w:val="22"/>
        </w:rPr>
        <w:t xml:space="preserve"> para eventos sendo, </w:t>
      </w:r>
      <w:r w:rsidR="009A71EA" w:rsidRPr="009A71EA">
        <w:rPr>
          <w:b/>
          <w:i/>
          <w:sz w:val="22"/>
          <w:szCs w:val="22"/>
        </w:rPr>
        <w:t xml:space="preserve">SONORIZAÇÃO, ILUMINAÇÃO, ARQUIBANCADA e BANHEIROS </w:t>
      </w:r>
      <w:proofErr w:type="gramStart"/>
      <w:r w:rsidR="009A71EA" w:rsidRPr="009A71EA">
        <w:rPr>
          <w:b/>
          <w:i/>
          <w:sz w:val="22"/>
          <w:szCs w:val="22"/>
        </w:rPr>
        <w:t>QUÍMICOS</w:t>
      </w:r>
      <w:r w:rsidR="009A71EA" w:rsidRPr="009A71EA">
        <w:rPr>
          <w:i/>
          <w:sz w:val="22"/>
          <w:szCs w:val="22"/>
        </w:rPr>
        <w:t xml:space="preserve"> com vista a atender o evento cultural denominado FESTIVAL FOLCLÓRICO DE GUAJARÁ-MIRIM</w:t>
      </w:r>
      <w:proofErr w:type="gramEnd"/>
      <w:r w:rsidR="009A71EA" w:rsidRPr="009A71EA">
        <w:rPr>
          <w:i/>
          <w:sz w:val="22"/>
          <w:szCs w:val="22"/>
        </w:rPr>
        <w:t>: DUELO DA FRONTEIRA- 2016,</w:t>
      </w:r>
      <w:r w:rsidR="009A71EA" w:rsidRPr="009A71EA">
        <w:rPr>
          <w:b/>
          <w:i/>
          <w:sz w:val="22"/>
          <w:szCs w:val="22"/>
        </w:rPr>
        <w:t xml:space="preserve"> </w:t>
      </w:r>
      <w:r w:rsidR="009A71EA" w:rsidRPr="009A71EA">
        <w:rPr>
          <w:i/>
          <w:color w:val="000000"/>
          <w:sz w:val="22"/>
          <w:szCs w:val="22"/>
        </w:rPr>
        <w:t>conforme especificação completa no Termo de Referência – Anexo I deste Edital.</w:t>
      </w:r>
      <w:r w:rsidRPr="001D5632">
        <w:rPr>
          <w:bCs/>
          <w:i/>
          <w:sz w:val="22"/>
          <w:szCs w:val="22"/>
        </w:rPr>
        <w:t>”</w:t>
      </w:r>
      <w:r w:rsidRPr="00B52CDD">
        <w:rPr>
          <w:i/>
          <w:color w:val="000000"/>
          <w:sz w:val="22"/>
          <w:szCs w:val="22"/>
        </w:rPr>
        <w:t>.</w:t>
      </w:r>
    </w:p>
    <w:p w:rsidR="0001727A" w:rsidRDefault="0001727A" w:rsidP="00F36BBF">
      <w:pPr>
        <w:rPr>
          <w:b/>
          <w:sz w:val="22"/>
          <w:szCs w:val="22"/>
        </w:rPr>
      </w:pPr>
    </w:p>
    <w:p w:rsidR="00AF70C6" w:rsidRPr="00DF5DED" w:rsidRDefault="00692ECC" w:rsidP="00F36BBF">
      <w:pPr>
        <w:rPr>
          <w:b/>
          <w:sz w:val="22"/>
          <w:szCs w:val="22"/>
        </w:rPr>
      </w:pPr>
      <w:r w:rsidRPr="00DF5DED">
        <w:rPr>
          <w:b/>
          <w:sz w:val="22"/>
          <w:szCs w:val="22"/>
        </w:rPr>
        <w:t xml:space="preserve"> </w:t>
      </w:r>
    </w:p>
    <w:p w:rsidR="00C815ED" w:rsidRDefault="005F748A" w:rsidP="007868FD">
      <w:pPr>
        <w:spacing w:line="300" w:lineRule="auto"/>
        <w:ind w:firstLine="1134"/>
        <w:rPr>
          <w:b/>
          <w:sz w:val="22"/>
          <w:szCs w:val="22"/>
        </w:rPr>
      </w:pPr>
      <w:r w:rsidRPr="00DF5DED">
        <w:rPr>
          <w:sz w:val="22"/>
          <w:szCs w:val="22"/>
        </w:rPr>
        <w:t>A Superintendência Estadual de Compras e Licitações – SUPEL, através d</w:t>
      </w:r>
      <w:r w:rsidR="007E6810">
        <w:rPr>
          <w:sz w:val="22"/>
          <w:szCs w:val="22"/>
        </w:rPr>
        <w:t>o</w:t>
      </w:r>
      <w:r w:rsidRPr="00DF5DED">
        <w:rPr>
          <w:sz w:val="22"/>
          <w:szCs w:val="22"/>
        </w:rPr>
        <w:t xml:space="preserve"> Pre</w:t>
      </w:r>
      <w:r w:rsidR="00403F46">
        <w:rPr>
          <w:sz w:val="22"/>
          <w:szCs w:val="22"/>
        </w:rPr>
        <w:t>goeir</w:t>
      </w:r>
      <w:r w:rsidR="007E6810">
        <w:rPr>
          <w:sz w:val="22"/>
          <w:szCs w:val="22"/>
        </w:rPr>
        <w:t>o Substituto</w:t>
      </w:r>
      <w:r w:rsidR="00403F46">
        <w:rPr>
          <w:sz w:val="22"/>
          <w:szCs w:val="22"/>
        </w:rPr>
        <w:t xml:space="preserve"> nomead</w:t>
      </w:r>
      <w:r w:rsidR="007E6810">
        <w:rPr>
          <w:sz w:val="22"/>
          <w:szCs w:val="22"/>
        </w:rPr>
        <w:t>o</w:t>
      </w:r>
      <w:r w:rsidR="00403F46">
        <w:rPr>
          <w:sz w:val="22"/>
          <w:szCs w:val="22"/>
        </w:rPr>
        <w:t xml:space="preserve"> na Portaria nº </w:t>
      </w:r>
      <w:r w:rsidR="0001727A">
        <w:rPr>
          <w:sz w:val="22"/>
          <w:szCs w:val="22"/>
        </w:rPr>
        <w:t>17</w:t>
      </w:r>
      <w:r w:rsidRPr="00DF5DED">
        <w:rPr>
          <w:sz w:val="22"/>
          <w:szCs w:val="22"/>
        </w:rPr>
        <w:t>/GAB/SUPEL</w:t>
      </w:r>
      <w:r w:rsidR="00403F46">
        <w:rPr>
          <w:sz w:val="22"/>
          <w:szCs w:val="22"/>
        </w:rPr>
        <w:t>/2016</w:t>
      </w:r>
      <w:r w:rsidRPr="00DF5DED">
        <w:rPr>
          <w:sz w:val="22"/>
          <w:szCs w:val="22"/>
        </w:rPr>
        <w:t xml:space="preserve">, de </w:t>
      </w:r>
      <w:r w:rsidR="0001727A">
        <w:rPr>
          <w:sz w:val="22"/>
          <w:szCs w:val="22"/>
        </w:rPr>
        <w:t>15</w:t>
      </w:r>
      <w:r w:rsidR="00403F46">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publicada no DOE nº </w:t>
      </w:r>
      <w:r w:rsidR="0001727A">
        <w:rPr>
          <w:sz w:val="22"/>
          <w:szCs w:val="22"/>
        </w:rPr>
        <w:t>111</w:t>
      </w:r>
      <w:r w:rsidRPr="00DF5DED">
        <w:rPr>
          <w:sz w:val="22"/>
          <w:szCs w:val="22"/>
        </w:rPr>
        <w:t xml:space="preserve">, de </w:t>
      </w:r>
      <w:r w:rsidR="0001727A">
        <w:rPr>
          <w:sz w:val="22"/>
          <w:szCs w:val="22"/>
        </w:rPr>
        <w:t>20</w:t>
      </w:r>
      <w:r w:rsidRPr="00DF5DED">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atentando para</w:t>
      </w:r>
      <w:r w:rsidR="007E6810">
        <w:rPr>
          <w:sz w:val="22"/>
          <w:szCs w:val="22"/>
        </w:rPr>
        <w:t xml:space="preserve"> os</w:t>
      </w:r>
      <w:r w:rsidR="009B5FB9" w:rsidRPr="00DF5DED">
        <w:rPr>
          <w:sz w:val="22"/>
          <w:szCs w:val="22"/>
        </w:rPr>
        <w:t xml:space="preserve"> </w:t>
      </w:r>
      <w:r w:rsidR="007E6810">
        <w:rPr>
          <w:sz w:val="22"/>
          <w:szCs w:val="22"/>
        </w:rPr>
        <w:t>P</w:t>
      </w:r>
      <w:r w:rsidR="005D7F11">
        <w:rPr>
          <w:sz w:val="22"/>
          <w:szCs w:val="22"/>
        </w:rPr>
        <w:t>edido</w:t>
      </w:r>
      <w:r w:rsidR="007E6810">
        <w:rPr>
          <w:sz w:val="22"/>
          <w:szCs w:val="22"/>
        </w:rPr>
        <w:t>s</w:t>
      </w:r>
      <w:r w:rsidR="009B5FB9" w:rsidRPr="00DF5DED">
        <w:rPr>
          <w:sz w:val="22"/>
          <w:szCs w:val="22"/>
        </w:rPr>
        <w:t xml:space="preserve"> de </w:t>
      </w:r>
      <w:r w:rsidR="007E6810">
        <w:rPr>
          <w:sz w:val="22"/>
          <w:szCs w:val="22"/>
        </w:rPr>
        <w:t>E</w:t>
      </w:r>
      <w:r w:rsidR="009B5FB9" w:rsidRPr="00DF5DED">
        <w:rPr>
          <w:sz w:val="22"/>
          <w:szCs w:val="22"/>
        </w:rPr>
        <w:t>sclarecimento</w:t>
      </w:r>
      <w:r w:rsidR="007E6810">
        <w:rPr>
          <w:sz w:val="22"/>
          <w:szCs w:val="22"/>
        </w:rPr>
        <w:t xml:space="preserve"> e as Impugnações,</w:t>
      </w:r>
      <w:r w:rsidR="005D7F11">
        <w:rPr>
          <w:sz w:val="22"/>
          <w:szCs w:val="22"/>
        </w:rPr>
        <w:t xml:space="preserve"> </w:t>
      </w:r>
      <w:r w:rsidR="00B760EA" w:rsidRPr="00C815ED">
        <w:rPr>
          <w:b/>
          <w:sz w:val="22"/>
          <w:szCs w:val="22"/>
        </w:rPr>
        <w:t xml:space="preserve">vem notificar aos interessados </w:t>
      </w:r>
      <w:r w:rsidR="00C815ED">
        <w:rPr>
          <w:b/>
          <w:sz w:val="22"/>
          <w:szCs w:val="22"/>
        </w:rPr>
        <w:t xml:space="preserve">o </w:t>
      </w:r>
      <w:r w:rsidR="00C815ED" w:rsidRPr="00C815ED">
        <w:rPr>
          <w:b/>
          <w:sz w:val="22"/>
          <w:szCs w:val="22"/>
        </w:rPr>
        <w:t>que</w:t>
      </w:r>
      <w:r w:rsidR="00C815ED">
        <w:rPr>
          <w:b/>
          <w:sz w:val="22"/>
          <w:szCs w:val="22"/>
        </w:rPr>
        <w:t xml:space="preserve"> se segue:</w:t>
      </w:r>
    </w:p>
    <w:p w:rsidR="00C815ED" w:rsidRDefault="00C815ED" w:rsidP="007868FD">
      <w:pPr>
        <w:spacing w:line="300" w:lineRule="auto"/>
        <w:ind w:firstLine="1134"/>
        <w:rPr>
          <w:b/>
          <w:sz w:val="22"/>
          <w:szCs w:val="22"/>
        </w:rPr>
      </w:pPr>
    </w:p>
    <w:p w:rsidR="00C815ED" w:rsidRPr="00C815ED" w:rsidRDefault="00C815ED" w:rsidP="007868FD">
      <w:pPr>
        <w:spacing w:line="300" w:lineRule="auto"/>
        <w:ind w:firstLine="1134"/>
        <w:rPr>
          <w:sz w:val="22"/>
          <w:szCs w:val="22"/>
        </w:rPr>
      </w:pPr>
      <w:r w:rsidRPr="00C815ED">
        <w:rPr>
          <w:sz w:val="22"/>
          <w:szCs w:val="22"/>
        </w:rPr>
        <w:t>Q</w:t>
      </w:r>
      <w:r>
        <w:rPr>
          <w:sz w:val="22"/>
          <w:szCs w:val="22"/>
        </w:rPr>
        <w:t>uanto à</w:t>
      </w:r>
      <w:r w:rsidR="00EA5526">
        <w:rPr>
          <w:sz w:val="22"/>
          <w:szCs w:val="22"/>
        </w:rPr>
        <w:t xml:space="preserve"> admissibilidade todas as impugnações e pedidos de esclarecimentos</w:t>
      </w:r>
      <w:r>
        <w:rPr>
          <w:sz w:val="22"/>
          <w:szCs w:val="22"/>
        </w:rPr>
        <w:t xml:space="preserve"> </w:t>
      </w:r>
      <w:r w:rsidR="00EA5526">
        <w:rPr>
          <w:sz w:val="22"/>
          <w:szCs w:val="22"/>
        </w:rPr>
        <w:t xml:space="preserve">atenderam ao disposto no item </w:t>
      </w:r>
      <w:proofErr w:type="gramStart"/>
      <w:r w:rsidR="00EA5526">
        <w:rPr>
          <w:sz w:val="22"/>
          <w:szCs w:val="22"/>
        </w:rPr>
        <w:t>3</w:t>
      </w:r>
      <w:proofErr w:type="gramEnd"/>
      <w:r w:rsidR="00EA5526">
        <w:rPr>
          <w:sz w:val="22"/>
          <w:szCs w:val="22"/>
        </w:rPr>
        <w:t xml:space="preserve"> do Edital, podendo, assim, ser recebidos e conhecidos.</w:t>
      </w:r>
    </w:p>
    <w:p w:rsidR="00C815ED" w:rsidRPr="00C815ED" w:rsidRDefault="00C815ED" w:rsidP="007868FD">
      <w:pPr>
        <w:spacing w:line="300" w:lineRule="auto"/>
        <w:rPr>
          <w:sz w:val="22"/>
          <w:szCs w:val="22"/>
        </w:rPr>
      </w:pPr>
    </w:p>
    <w:p w:rsidR="002A4EFE" w:rsidRPr="00DF5DED" w:rsidRDefault="00C7371D" w:rsidP="007868FD">
      <w:pPr>
        <w:spacing w:line="300" w:lineRule="auto"/>
        <w:ind w:firstLine="1134"/>
        <w:rPr>
          <w:bCs/>
          <w:sz w:val="22"/>
          <w:szCs w:val="22"/>
        </w:rPr>
      </w:pPr>
      <w:r>
        <w:rPr>
          <w:sz w:val="22"/>
          <w:szCs w:val="22"/>
        </w:rPr>
        <w:t>C</w:t>
      </w:r>
      <w:r w:rsidR="002A4EFE">
        <w:rPr>
          <w:bCs/>
          <w:sz w:val="22"/>
          <w:szCs w:val="22"/>
        </w:rPr>
        <w:t>onsiderando que as questões levantadas tanto nas impugnações como nos pedidos de esclarecimento tem sua origem no Termo de Referência, enviamos todas as mensagens de e-mail e seus anexos à SEJUCEL – Órgão Requisitante - para manifestação, tendo aquela Superintendência se pronunciado</w:t>
      </w:r>
      <w:r w:rsidR="009B0CD4">
        <w:rPr>
          <w:bCs/>
          <w:sz w:val="22"/>
          <w:szCs w:val="22"/>
        </w:rPr>
        <w:t xml:space="preserve">, via Ofício nº 1908/CAF/SEJUCEL, de 09/09/2016, constante nos autos, </w:t>
      </w:r>
      <w:r w:rsidR="002A4EFE">
        <w:rPr>
          <w:bCs/>
          <w:sz w:val="22"/>
          <w:szCs w:val="22"/>
        </w:rPr>
        <w:t>nos seguintes termos:</w:t>
      </w:r>
    </w:p>
    <w:p w:rsidR="000621BB" w:rsidRDefault="000621BB" w:rsidP="00F36BBF">
      <w:pPr>
        <w:rPr>
          <w:bCs/>
          <w:sz w:val="22"/>
          <w:szCs w:val="22"/>
        </w:rPr>
      </w:pPr>
    </w:p>
    <w:p w:rsidR="00B66D54" w:rsidRPr="001363BD" w:rsidRDefault="007E6810" w:rsidP="001129F9">
      <w:pPr>
        <w:rPr>
          <w:bCs/>
          <w:sz w:val="22"/>
          <w:szCs w:val="22"/>
        </w:rPr>
      </w:pPr>
      <w:r>
        <w:rPr>
          <w:b/>
          <w:bCs/>
          <w:sz w:val="22"/>
          <w:szCs w:val="22"/>
        </w:rPr>
        <w:t xml:space="preserve">IMPUGNAÇÃO – </w:t>
      </w:r>
      <w:r w:rsidRPr="00AB4B25">
        <w:rPr>
          <w:bCs/>
          <w:sz w:val="22"/>
          <w:szCs w:val="22"/>
        </w:rPr>
        <w:t>via e-mail datado de</w:t>
      </w:r>
      <w:r>
        <w:rPr>
          <w:bCs/>
          <w:sz w:val="22"/>
          <w:szCs w:val="22"/>
        </w:rPr>
        <w:t xml:space="preserve"> </w:t>
      </w:r>
      <w:r w:rsidR="007E1E9E">
        <w:rPr>
          <w:bCs/>
          <w:sz w:val="22"/>
          <w:szCs w:val="22"/>
        </w:rPr>
        <w:t>2</w:t>
      </w:r>
      <w:r w:rsidR="003370A8">
        <w:rPr>
          <w:bCs/>
          <w:sz w:val="22"/>
          <w:szCs w:val="22"/>
        </w:rPr>
        <w:t>9</w:t>
      </w:r>
      <w:r>
        <w:rPr>
          <w:bCs/>
          <w:sz w:val="22"/>
          <w:szCs w:val="22"/>
        </w:rPr>
        <w:t>/0</w:t>
      </w:r>
      <w:r w:rsidR="003370A8">
        <w:rPr>
          <w:bCs/>
          <w:sz w:val="22"/>
          <w:szCs w:val="22"/>
        </w:rPr>
        <w:t>8</w:t>
      </w:r>
      <w:r>
        <w:rPr>
          <w:bCs/>
          <w:sz w:val="22"/>
          <w:szCs w:val="22"/>
        </w:rPr>
        <w:t>/2016</w:t>
      </w:r>
      <w:r w:rsidRPr="00AB4B25">
        <w:rPr>
          <w:bCs/>
          <w:sz w:val="22"/>
          <w:szCs w:val="22"/>
        </w:rPr>
        <w:t>,</w:t>
      </w:r>
      <w:r w:rsidR="001363BD">
        <w:rPr>
          <w:bCs/>
          <w:sz w:val="22"/>
          <w:szCs w:val="22"/>
        </w:rPr>
        <w:t xml:space="preserve"> recebida no mesmo dia,</w:t>
      </w:r>
      <w:r w:rsidRPr="00AB4B25">
        <w:rPr>
          <w:bCs/>
          <w:sz w:val="22"/>
          <w:szCs w:val="22"/>
        </w:rPr>
        <w:t xml:space="preserve"> fls.</w:t>
      </w:r>
      <w:r w:rsidR="001129F9">
        <w:rPr>
          <w:bCs/>
          <w:sz w:val="22"/>
          <w:szCs w:val="22"/>
        </w:rPr>
        <w:t xml:space="preserve"> 212-220</w:t>
      </w:r>
      <w:r w:rsidRPr="00AB4B25">
        <w:rPr>
          <w:bCs/>
          <w:sz w:val="22"/>
          <w:szCs w:val="22"/>
        </w:rPr>
        <w:t xml:space="preserve"> autos</w:t>
      </w:r>
      <w:r w:rsidR="009B0CD4">
        <w:rPr>
          <w:bCs/>
          <w:sz w:val="22"/>
          <w:szCs w:val="22"/>
        </w:rPr>
        <w:t>.</w:t>
      </w:r>
    </w:p>
    <w:p w:rsidR="00084F3A" w:rsidRPr="00084F3A" w:rsidRDefault="00084F3A" w:rsidP="00084F3A">
      <w:pPr>
        <w:pStyle w:val="PargrafodaLista"/>
        <w:spacing w:line="276" w:lineRule="auto"/>
        <w:ind w:left="1701"/>
        <w:jc w:val="both"/>
        <w:rPr>
          <w:i/>
          <w:sz w:val="21"/>
          <w:szCs w:val="21"/>
        </w:rPr>
      </w:pPr>
      <w:r w:rsidRPr="00084F3A">
        <w:rPr>
          <w:i/>
          <w:sz w:val="21"/>
          <w:szCs w:val="21"/>
        </w:rPr>
        <w:t xml:space="preserve"> </w:t>
      </w:r>
    </w:p>
    <w:p w:rsidR="00373E40" w:rsidRPr="008D3177" w:rsidRDefault="00373E40" w:rsidP="00373E40">
      <w:pPr>
        <w:pStyle w:val="PargrafodaLista"/>
        <w:spacing w:line="300" w:lineRule="auto"/>
        <w:ind w:left="0" w:firstLine="1134"/>
      </w:pPr>
      <w:r w:rsidRPr="008D3177">
        <w:t>Em síntese, contesta a impugnante:</w:t>
      </w:r>
    </w:p>
    <w:p w:rsidR="00373E40" w:rsidRPr="009818B3" w:rsidRDefault="00373E40" w:rsidP="00373E40">
      <w:pPr>
        <w:autoSpaceDE w:val="0"/>
        <w:autoSpaceDN w:val="0"/>
        <w:adjustRightInd w:val="0"/>
        <w:ind w:left="2835"/>
        <w:rPr>
          <w:i/>
        </w:rPr>
      </w:pPr>
      <w:proofErr w:type="gramStart"/>
      <w:r w:rsidRPr="009818B3">
        <w:rPr>
          <w:i/>
        </w:rPr>
        <w:t>“...</w:t>
      </w:r>
      <w:proofErr w:type="gramEnd"/>
      <w:r w:rsidRPr="009818B3">
        <w:rPr>
          <w:i/>
        </w:rPr>
        <w:t>a alínea “a.2” do mesmo item, exige a qualificação técnico-profissional de atestados ou declarações em nome do responsável técnico emitidas por pessoa jurídica de direito público ou privado devidamente chanceladas pelo CREA. Todavia, a qualificação técnica profissional (do responsável técnico) é aferida através de atestados de responsabilidade técnica de obra ou serviço similar emitidos pelo CREA, e não emitido por pessoas jurídicas de direito público ou privado em nome do responsável técnico, conforme art. 30,§1º, I da LLC.”</w:t>
      </w:r>
    </w:p>
    <w:p w:rsidR="00373E40" w:rsidRDefault="00373E40" w:rsidP="00373E40">
      <w:pPr>
        <w:autoSpaceDE w:val="0"/>
        <w:autoSpaceDN w:val="0"/>
        <w:adjustRightInd w:val="0"/>
        <w:ind w:left="2835"/>
      </w:pPr>
    </w:p>
    <w:p w:rsidR="00373E40" w:rsidRPr="002C2852" w:rsidRDefault="00373E40" w:rsidP="002C2852">
      <w:pPr>
        <w:autoSpaceDE w:val="0"/>
        <w:autoSpaceDN w:val="0"/>
        <w:adjustRightInd w:val="0"/>
        <w:spacing w:line="300" w:lineRule="auto"/>
        <w:ind w:firstLine="1134"/>
        <w:rPr>
          <w:i/>
          <w:sz w:val="22"/>
          <w:szCs w:val="22"/>
        </w:rPr>
      </w:pPr>
      <w:r w:rsidRPr="002C2852">
        <w:rPr>
          <w:sz w:val="22"/>
          <w:szCs w:val="22"/>
        </w:rPr>
        <w:t xml:space="preserve">Informa que esta exigência pode ser comprovada com a apresentação de Certidão de Acervo Técnico </w:t>
      </w:r>
      <w:r w:rsidRPr="002C2852">
        <w:rPr>
          <w:i/>
          <w:sz w:val="22"/>
          <w:szCs w:val="22"/>
        </w:rPr>
        <w:t xml:space="preserve">“pois tem sua validade pela vinculação ao órgão competente onde constam todos os serviços prestados pelo responsável técnico, e ainda as empresas onde </w:t>
      </w:r>
      <w:proofErr w:type="gramStart"/>
      <w:r w:rsidRPr="002C2852">
        <w:rPr>
          <w:i/>
          <w:sz w:val="22"/>
          <w:szCs w:val="22"/>
        </w:rPr>
        <w:t>foram</w:t>
      </w:r>
      <w:proofErr w:type="gramEnd"/>
      <w:r w:rsidRPr="002C2852">
        <w:rPr>
          <w:i/>
          <w:sz w:val="22"/>
          <w:szCs w:val="22"/>
        </w:rPr>
        <w:t xml:space="preserve"> prestados o serviço.”</w:t>
      </w:r>
    </w:p>
    <w:p w:rsidR="00373E40" w:rsidRPr="002C2852" w:rsidRDefault="00373E40" w:rsidP="002C2852">
      <w:pPr>
        <w:autoSpaceDE w:val="0"/>
        <w:autoSpaceDN w:val="0"/>
        <w:adjustRightInd w:val="0"/>
        <w:spacing w:line="300" w:lineRule="auto"/>
        <w:ind w:firstLine="1134"/>
        <w:rPr>
          <w:i/>
          <w:sz w:val="22"/>
          <w:szCs w:val="22"/>
        </w:rPr>
      </w:pPr>
    </w:p>
    <w:p w:rsidR="00373E40" w:rsidRPr="002C2852" w:rsidRDefault="00373E40" w:rsidP="002C2852">
      <w:pPr>
        <w:autoSpaceDE w:val="0"/>
        <w:autoSpaceDN w:val="0"/>
        <w:adjustRightInd w:val="0"/>
        <w:spacing w:line="300" w:lineRule="auto"/>
        <w:ind w:firstLine="1134"/>
        <w:rPr>
          <w:sz w:val="22"/>
          <w:szCs w:val="22"/>
        </w:rPr>
      </w:pPr>
      <w:r w:rsidRPr="002C2852">
        <w:rPr>
          <w:sz w:val="22"/>
          <w:szCs w:val="22"/>
        </w:rPr>
        <w:t>Afirma ser imprescindível a exigência de qualificação profissional para execução dos serviços como bom resultado para as estruturas e para a vida das pessoas.</w:t>
      </w:r>
    </w:p>
    <w:p w:rsidR="00373E40" w:rsidRPr="002C2852" w:rsidRDefault="00373E40" w:rsidP="002C2852">
      <w:pPr>
        <w:autoSpaceDE w:val="0"/>
        <w:autoSpaceDN w:val="0"/>
        <w:adjustRightInd w:val="0"/>
        <w:spacing w:line="300" w:lineRule="auto"/>
        <w:ind w:firstLine="1134"/>
        <w:rPr>
          <w:sz w:val="22"/>
          <w:szCs w:val="22"/>
        </w:rPr>
      </w:pPr>
    </w:p>
    <w:p w:rsidR="00373E40" w:rsidRPr="002C2852" w:rsidRDefault="00373E40" w:rsidP="002C2852">
      <w:pPr>
        <w:autoSpaceDE w:val="0"/>
        <w:autoSpaceDN w:val="0"/>
        <w:adjustRightInd w:val="0"/>
        <w:spacing w:line="300" w:lineRule="auto"/>
        <w:ind w:firstLine="1134"/>
        <w:rPr>
          <w:sz w:val="22"/>
          <w:szCs w:val="22"/>
        </w:rPr>
      </w:pPr>
      <w:r w:rsidRPr="002C2852">
        <w:rPr>
          <w:sz w:val="22"/>
          <w:szCs w:val="22"/>
        </w:rPr>
        <w:t>Também reputa indispensável, legal e essencial a exigência na fase de habilitação de comprovação da licitante de registro ou inscrição na entidade profissional competente.</w:t>
      </w:r>
    </w:p>
    <w:p w:rsidR="00373E40" w:rsidRPr="002C2852" w:rsidRDefault="00373E40" w:rsidP="00373E40">
      <w:pPr>
        <w:autoSpaceDE w:val="0"/>
        <w:autoSpaceDN w:val="0"/>
        <w:adjustRightInd w:val="0"/>
        <w:ind w:firstLine="1134"/>
        <w:rPr>
          <w:sz w:val="22"/>
          <w:szCs w:val="22"/>
        </w:rPr>
      </w:pPr>
    </w:p>
    <w:p w:rsidR="00373E40" w:rsidRPr="002C2852" w:rsidRDefault="00373E40" w:rsidP="00373E40">
      <w:pPr>
        <w:autoSpaceDE w:val="0"/>
        <w:autoSpaceDN w:val="0"/>
        <w:adjustRightInd w:val="0"/>
        <w:ind w:firstLine="1134"/>
        <w:rPr>
          <w:sz w:val="22"/>
          <w:szCs w:val="22"/>
        </w:rPr>
      </w:pPr>
      <w:r w:rsidRPr="002C2852">
        <w:rPr>
          <w:sz w:val="22"/>
          <w:szCs w:val="22"/>
        </w:rPr>
        <w:t xml:space="preserve">Colaciona jurisprudência quanto ao vínculo profissional dos responsáveis técnicos, </w:t>
      </w:r>
      <w:r w:rsidRPr="002C2852">
        <w:rPr>
          <w:i/>
          <w:sz w:val="22"/>
          <w:szCs w:val="22"/>
        </w:rPr>
        <w:t xml:space="preserve">in </w:t>
      </w:r>
      <w:proofErr w:type="spellStart"/>
      <w:r w:rsidRPr="002C2852">
        <w:rPr>
          <w:i/>
          <w:sz w:val="22"/>
          <w:szCs w:val="22"/>
        </w:rPr>
        <w:t>verbis</w:t>
      </w:r>
      <w:proofErr w:type="spellEnd"/>
      <w:r w:rsidRPr="002C2852">
        <w:rPr>
          <w:sz w:val="22"/>
          <w:szCs w:val="22"/>
        </w:rPr>
        <w:t>:</w:t>
      </w:r>
    </w:p>
    <w:p w:rsidR="00373E40" w:rsidRPr="009818B3" w:rsidRDefault="00373E40" w:rsidP="00373E40">
      <w:pPr>
        <w:autoSpaceDE w:val="0"/>
        <w:autoSpaceDN w:val="0"/>
        <w:adjustRightInd w:val="0"/>
        <w:ind w:left="2835"/>
        <w:rPr>
          <w:i/>
        </w:rPr>
      </w:pPr>
      <w:proofErr w:type="gramStart"/>
      <w:r>
        <w:t>“</w:t>
      </w:r>
      <w:r w:rsidRPr="009818B3">
        <w:rPr>
          <w:i/>
        </w:rPr>
        <w:t>Contratação pública – Planejamento – Habilitação – Técnica –Responsável técnico – Vínculo profissional – Comprovação –</w:t>
      </w:r>
      <w:r>
        <w:rPr>
          <w:i/>
        </w:rPr>
        <w:t xml:space="preserve"> </w:t>
      </w:r>
      <w:r w:rsidRPr="009818B3">
        <w:rPr>
          <w:i/>
        </w:rPr>
        <w:t>Documentos hábeis – TCU</w:t>
      </w:r>
    </w:p>
    <w:p w:rsidR="00373E40" w:rsidRPr="009818B3" w:rsidRDefault="00373E40" w:rsidP="00373E40">
      <w:pPr>
        <w:autoSpaceDE w:val="0"/>
        <w:autoSpaceDN w:val="0"/>
        <w:adjustRightInd w:val="0"/>
        <w:ind w:left="2835"/>
        <w:rPr>
          <w:i/>
        </w:rPr>
      </w:pPr>
      <w:proofErr w:type="gramEnd"/>
      <w:r w:rsidRPr="009818B3">
        <w:rPr>
          <w:i/>
        </w:rPr>
        <w:t>Acerca da comprovação do vínculo profissional dos responsáveis</w:t>
      </w:r>
      <w:r>
        <w:rPr>
          <w:i/>
        </w:rPr>
        <w:t xml:space="preserve"> </w:t>
      </w:r>
      <w:r w:rsidRPr="009818B3">
        <w:rPr>
          <w:i/>
        </w:rPr>
        <w:t>técnicos com a licitante, prevista no art. 30, § 1º, inc. I, da Lei nº</w:t>
      </w:r>
      <w:r>
        <w:rPr>
          <w:i/>
        </w:rPr>
        <w:t xml:space="preserve"> </w:t>
      </w:r>
      <w:r w:rsidRPr="009818B3">
        <w:rPr>
          <w:i/>
        </w:rPr>
        <w:t>8.666/93, o TCU entendeu que a Administração Pública “deve admitir</w:t>
      </w:r>
      <w:r>
        <w:rPr>
          <w:i/>
        </w:rPr>
        <w:t xml:space="preserve"> </w:t>
      </w:r>
      <w:r w:rsidRPr="009818B3">
        <w:rPr>
          <w:i/>
        </w:rPr>
        <w:t>a apresentação de cópia da carteira de trabalho (CTPS) em que</w:t>
      </w:r>
      <w:r>
        <w:rPr>
          <w:i/>
        </w:rPr>
        <w:t xml:space="preserve"> </w:t>
      </w:r>
      <w:r w:rsidRPr="009818B3">
        <w:rPr>
          <w:i/>
        </w:rPr>
        <w:t>conste o profissional como sócio, do contrato de trabalho ou,</w:t>
      </w:r>
      <w:r>
        <w:rPr>
          <w:i/>
        </w:rPr>
        <w:t xml:space="preserve"> </w:t>
      </w:r>
      <w:r w:rsidRPr="009818B3">
        <w:rPr>
          <w:i/>
        </w:rPr>
        <w:t>ainda, de declaração de contratação futura do profissional detentor do</w:t>
      </w:r>
      <w:r>
        <w:rPr>
          <w:i/>
        </w:rPr>
        <w:t xml:space="preserve"> </w:t>
      </w:r>
      <w:r w:rsidRPr="009818B3">
        <w:rPr>
          <w:i/>
        </w:rPr>
        <w:t>atestado apresentado, desde que acompanhada de declaração de</w:t>
      </w:r>
      <w:r>
        <w:rPr>
          <w:i/>
        </w:rPr>
        <w:t xml:space="preserve"> </w:t>
      </w:r>
      <w:r w:rsidRPr="009818B3">
        <w:rPr>
          <w:i/>
        </w:rPr>
        <w:t xml:space="preserve">anuência do profissional”. (TCU, </w:t>
      </w:r>
      <w:proofErr w:type="spellStart"/>
      <w:r w:rsidRPr="009818B3">
        <w:rPr>
          <w:i/>
        </w:rPr>
        <w:t>Acordão</w:t>
      </w:r>
      <w:proofErr w:type="spellEnd"/>
      <w:r w:rsidRPr="009818B3">
        <w:rPr>
          <w:i/>
        </w:rPr>
        <w:t xml:space="preserve"> nº 498/2013, Plenário, Rel.</w:t>
      </w:r>
      <w:r>
        <w:rPr>
          <w:i/>
        </w:rPr>
        <w:t xml:space="preserve"> </w:t>
      </w:r>
      <w:r w:rsidRPr="009818B3">
        <w:rPr>
          <w:i/>
        </w:rPr>
        <w:t>Min. Raimundo Carreiro, DOU de 18.03.2013.</w:t>
      </w:r>
      <w:proofErr w:type="gramStart"/>
      <w:r w:rsidRPr="009818B3">
        <w:rPr>
          <w:i/>
        </w:rPr>
        <w:t>)</w:t>
      </w:r>
      <w:proofErr w:type="gramEnd"/>
    </w:p>
    <w:p w:rsidR="00373E40" w:rsidRPr="009818B3" w:rsidRDefault="00373E40" w:rsidP="00373E40">
      <w:pPr>
        <w:autoSpaceDE w:val="0"/>
        <w:autoSpaceDN w:val="0"/>
        <w:adjustRightInd w:val="0"/>
        <w:ind w:left="2835"/>
        <w:rPr>
          <w:i/>
        </w:rPr>
      </w:pPr>
      <w:r w:rsidRPr="009818B3">
        <w:rPr>
          <w:i/>
        </w:rPr>
        <w:t>Contratação pública – Licitação – Edital – Habilitação técnica –</w:t>
      </w:r>
      <w:r>
        <w:rPr>
          <w:i/>
        </w:rPr>
        <w:t xml:space="preserve"> </w:t>
      </w:r>
      <w:r w:rsidRPr="009818B3">
        <w:rPr>
          <w:i/>
        </w:rPr>
        <w:t>Capacidade técnico-profissional – Possibilidade de exigência –</w:t>
      </w:r>
      <w:r>
        <w:rPr>
          <w:i/>
        </w:rPr>
        <w:t xml:space="preserve"> </w:t>
      </w:r>
      <w:r w:rsidRPr="009818B3">
        <w:rPr>
          <w:i/>
        </w:rPr>
        <w:t>TCU</w:t>
      </w:r>
    </w:p>
    <w:p w:rsidR="00373E40" w:rsidRDefault="00373E40" w:rsidP="00373E40">
      <w:pPr>
        <w:autoSpaceDE w:val="0"/>
        <w:autoSpaceDN w:val="0"/>
        <w:adjustRightInd w:val="0"/>
        <w:ind w:left="2835"/>
        <w:rPr>
          <w:i/>
        </w:rPr>
      </w:pPr>
      <w:r w:rsidRPr="009818B3">
        <w:rPr>
          <w:i/>
        </w:rPr>
        <w:t>“A alegação da Representante de que a comprovação técnica deveria</w:t>
      </w:r>
      <w:r>
        <w:rPr>
          <w:i/>
        </w:rPr>
        <w:t xml:space="preserve"> </w:t>
      </w:r>
      <w:r w:rsidRPr="009818B3">
        <w:rPr>
          <w:i/>
        </w:rPr>
        <w:t>restringir-se à empresa não procede, pois o inciso I do § 1º do art. 30</w:t>
      </w:r>
      <w:r>
        <w:rPr>
          <w:i/>
        </w:rPr>
        <w:t xml:space="preserve"> </w:t>
      </w:r>
      <w:r w:rsidRPr="009818B3">
        <w:rPr>
          <w:i/>
        </w:rPr>
        <w:t xml:space="preserve">da Lei nº 8.666/93 disciplina justamente a capacitação </w:t>
      </w:r>
      <w:proofErr w:type="spellStart"/>
      <w:r w:rsidRPr="009818B3">
        <w:rPr>
          <w:i/>
        </w:rPr>
        <w:t>técnicoprofissional</w:t>
      </w:r>
      <w:proofErr w:type="spellEnd"/>
      <w:r w:rsidRPr="009818B3">
        <w:rPr>
          <w:i/>
        </w:rPr>
        <w:t>,</w:t>
      </w:r>
      <w:r>
        <w:rPr>
          <w:i/>
        </w:rPr>
        <w:t xml:space="preserve"> </w:t>
      </w:r>
      <w:r w:rsidRPr="009818B3">
        <w:rPr>
          <w:i/>
        </w:rPr>
        <w:t>não havendo dúvidas nesse aspecto. A controvérsia que</w:t>
      </w:r>
      <w:r>
        <w:rPr>
          <w:i/>
        </w:rPr>
        <w:t xml:space="preserve"> </w:t>
      </w:r>
      <w:r w:rsidRPr="009818B3">
        <w:rPr>
          <w:i/>
        </w:rPr>
        <w:t>poderia ser levantada relaciona-se à possibilidade de exigência de</w:t>
      </w:r>
      <w:r>
        <w:rPr>
          <w:i/>
        </w:rPr>
        <w:t xml:space="preserve"> </w:t>
      </w:r>
      <w:r w:rsidRPr="009818B3">
        <w:rPr>
          <w:i/>
        </w:rPr>
        <w:t>capacidade técnico-operacional, tendo em vista o veto presidencial ao</w:t>
      </w:r>
      <w:r>
        <w:rPr>
          <w:i/>
        </w:rPr>
        <w:t xml:space="preserve"> </w:t>
      </w:r>
      <w:r w:rsidRPr="009818B3">
        <w:rPr>
          <w:i/>
        </w:rPr>
        <w:t>inciso II do § 1º do art. 30, que disciplinava essa questão. No entanto,</w:t>
      </w:r>
      <w:r>
        <w:rPr>
          <w:i/>
        </w:rPr>
        <w:t xml:space="preserve"> </w:t>
      </w:r>
      <w:r w:rsidRPr="009818B3">
        <w:rPr>
          <w:i/>
        </w:rPr>
        <w:t xml:space="preserve">tanto </w:t>
      </w:r>
      <w:proofErr w:type="gramStart"/>
      <w:r w:rsidRPr="009818B3">
        <w:rPr>
          <w:i/>
        </w:rPr>
        <w:t>a doutrina como a jurisprudência desta Corte propugnam</w:t>
      </w:r>
      <w:proofErr w:type="gramEnd"/>
      <w:r w:rsidRPr="009818B3">
        <w:rPr>
          <w:i/>
        </w:rPr>
        <w:t xml:space="preserve"> por</w:t>
      </w:r>
      <w:r>
        <w:rPr>
          <w:i/>
        </w:rPr>
        <w:t xml:space="preserve"> </w:t>
      </w:r>
      <w:r w:rsidRPr="009818B3">
        <w:rPr>
          <w:i/>
        </w:rPr>
        <w:t>sua possibilidade”. (TCU, Acórdão nº 1.332/2006, Plenário, Rel. Min.</w:t>
      </w:r>
      <w:r>
        <w:rPr>
          <w:i/>
        </w:rPr>
        <w:t xml:space="preserve"> </w:t>
      </w:r>
      <w:r w:rsidRPr="009818B3">
        <w:rPr>
          <w:i/>
        </w:rPr>
        <w:t>Walton Alencar Rodrigues, DOU de 07.08.2006.)</w:t>
      </w:r>
      <w:proofErr w:type="gramStart"/>
      <w:r>
        <w:rPr>
          <w:i/>
        </w:rPr>
        <w:t>”</w:t>
      </w:r>
      <w:proofErr w:type="gramEnd"/>
    </w:p>
    <w:p w:rsidR="00373E40" w:rsidRPr="00373E40" w:rsidRDefault="00373E40" w:rsidP="002C2852">
      <w:pPr>
        <w:autoSpaceDE w:val="0"/>
        <w:autoSpaceDN w:val="0"/>
        <w:adjustRightInd w:val="0"/>
        <w:spacing w:line="300" w:lineRule="auto"/>
        <w:ind w:left="2835"/>
        <w:rPr>
          <w:i/>
          <w:sz w:val="22"/>
          <w:szCs w:val="22"/>
        </w:rPr>
      </w:pPr>
    </w:p>
    <w:p w:rsidR="00373E40" w:rsidRPr="00373E40" w:rsidRDefault="00373E40" w:rsidP="002C2852">
      <w:pPr>
        <w:autoSpaceDE w:val="0"/>
        <w:autoSpaceDN w:val="0"/>
        <w:adjustRightInd w:val="0"/>
        <w:spacing w:line="300" w:lineRule="auto"/>
        <w:ind w:firstLine="1134"/>
        <w:rPr>
          <w:i/>
          <w:sz w:val="22"/>
          <w:szCs w:val="22"/>
        </w:rPr>
      </w:pPr>
      <w:r w:rsidRPr="00373E40">
        <w:rPr>
          <w:sz w:val="22"/>
          <w:szCs w:val="22"/>
        </w:rPr>
        <w:t xml:space="preserve">Ao final requer: a retificação do edital no item 10.8.1; o acolhimento da Impugnação na forma dos §§ 1º e 2º do artigo 18, do Decreto Estadual n° 12.205/2006 e </w:t>
      </w:r>
      <w:r w:rsidRPr="00373E40">
        <w:rPr>
          <w:i/>
          <w:sz w:val="22"/>
          <w:szCs w:val="22"/>
        </w:rPr>
        <w:t>a divulgação, pelo mesmo instrumento de publicação em que se deu o texto original, após a modificação requerida, reabrindo-se o prazo inicialmente estabelecido.</w:t>
      </w:r>
    </w:p>
    <w:p w:rsidR="00373E40" w:rsidRPr="00373E40" w:rsidRDefault="00373E40" w:rsidP="002C2852">
      <w:pPr>
        <w:autoSpaceDE w:val="0"/>
        <w:autoSpaceDN w:val="0"/>
        <w:adjustRightInd w:val="0"/>
        <w:spacing w:line="300" w:lineRule="auto"/>
        <w:rPr>
          <w:sz w:val="22"/>
          <w:szCs w:val="22"/>
        </w:rPr>
      </w:pPr>
    </w:p>
    <w:p w:rsidR="00373E40" w:rsidRPr="00373E40" w:rsidRDefault="00373E40" w:rsidP="002C2852">
      <w:pPr>
        <w:autoSpaceDE w:val="0"/>
        <w:autoSpaceDN w:val="0"/>
        <w:adjustRightInd w:val="0"/>
        <w:spacing w:line="300" w:lineRule="auto"/>
        <w:rPr>
          <w:sz w:val="22"/>
          <w:szCs w:val="22"/>
        </w:rPr>
      </w:pPr>
      <w:r w:rsidRPr="00373E40">
        <w:rPr>
          <w:b/>
          <w:sz w:val="22"/>
          <w:szCs w:val="22"/>
        </w:rPr>
        <w:t xml:space="preserve">Resposta: </w:t>
      </w:r>
      <w:r w:rsidRPr="00373E40">
        <w:rPr>
          <w:sz w:val="22"/>
          <w:szCs w:val="22"/>
        </w:rPr>
        <w:t>Em razão do contido na impugnação verificamos a necessidade de adequação do item 14 do Termo de Referência – qualificação técnica. Assim, foi elaborada Errata ao Termo.</w:t>
      </w:r>
    </w:p>
    <w:p w:rsidR="00373E40" w:rsidRDefault="00373E40" w:rsidP="007E6810">
      <w:pPr>
        <w:pStyle w:val="PargrafodaLista"/>
        <w:tabs>
          <w:tab w:val="left" w:pos="426"/>
        </w:tabs>
        <w:ind w:left="0"/>
        <w:jc w:val="both"/>
        <w:rPr>
          <w:b/>
          <w:sz w:val="22"/>
          <w:szCs w:val="22"/>
        </w:rPr>
      </w:pPr>
    </w:p>
    <w:p w:rsidR="00331464" w:rsidRDefault="005D7F11" w:rsidP="0017016F">
      <w:pPr>
        <w:rPr>
          <w:bCs/>
          <w:i/>
          <w:sz w:val="22"/>
          <w:szCs w:val="22"/>
        </w:rPr>
      </w:pPr>
      <w:r>
        <w:rPr>
          <w:b/>
          <w:bCs/>
          <w:sz w:val="22"/>
          <w:szCs w:val="22"/>
        </w:rPr>
        <w:t>IMPUGNAÇÃO</w:t>
      </w:r>
      <w:r w:rsidR="00D66E6E">
        <w:rPr>
          <w:b/>
          <w:bCs/>
          <w:sz w:val="22"/>
          <w:szCs w:val="22"/>
        </w:rPr>
        <w:t xml:space="preserve"> –</w:t>
      </w:r>
      <w:r w:rsidR="0001727A">
        <w:rPr>
          <w:b/>
          <w:bCs/>
          <w:sz w:val="22"/>
          <w:szCs w:val="22"/>
        </w:rPr>
        <w:t xml:space="preserve"> </w:t>
      </w:r>
      <w:r w:rsidR="00AB4B25" w:rsidRPr="00AB4B25">
        <w:rPr>
          <w:bCs/>
          <w:sz w:val="22"/>
          <w:szCs w:val="22"/>
        </w:rPr>
        <w:t xml:space="preserve">via e-mail </w:t>
      </w:r>
      <w:r w:rsidR="0001727A" w:rsidRPr="00AB4B25">
        <w:rPr>
          <w:bCs/>
          <w:sz w:val="22"/>
          <w:szCs w:val="22"/>
        </w:rPr>
        <w:t xml:space="preserve">datado </w:t>
      </w:r>
      <w:r w:rsidR="00AB4B25" w:rsidRPr="00AB4B25">
        <w:rPr>
          <w:bCs/>
          <w:sz w:val="22"/>
          <w:szCs w:val="22"/>
        </w:rPr>
        <w:t>de</w:t>
      </w:r>
      <w:r w:rsidR="003370A8">
        <w:rPr>
          <w:bCs/>
          <w:sz w:val="22"/>
          <w:szCs w:val="22"/>
        </w:rPr>
        <w:t xml:space="preserve"> </w:t>
      </w:r>
      <w:r w:rsidR="001363BD">
        <w:rPr>
          <w:bCs/>
          <w:sz w:val="22"/>
          <w:szCs w:val="22"/>
        </w:rPr>
        <w:t>29/08/2016</w:t>
      </w:r>
      <w:r w:rsidR="00AB4B25" w:rsidRPr="00AB4B25">
        <w:rPr>
          <w:bCs/>
          <w:sz w:val="22"/>
          <w:szCs w:val="22"/>
        </w:rPr>
        <w:t>,</w:t>
      </w:r>
      <w:r w:rsidR="001363BD">
        <w:rPr>
          <w:bCs/>
          <w:sz w:val="22"/>
          <w:szCs w:val="22"/>
        </w:rPr>
        <w:t xml:space="preserve"> recebida no mesmo dia, </w:t>
      </w:r>
      <w:r w:rsidR="00AB4B25" w:rsidRPr="00AB4B25">
        <w:rPr>
          <w:bCs/>
          <w:sz w:val="22"/>
          <w:szCs w:val="22"/>
        </w:rPr>
        <w:t>fls.</w:t>
      </w:r>
      <w:r w:rsidR="001363BD">
        <w:rPr>
          <w:bCs/>
          <w:sz w:val="22"/>
          <w:szCs w:val="22"/>
        </w:rPr>
        <w:t xml:space="preserve"> 221-228</w:t>
      </w:r>
      <w:r w:rsidR="003370A8">
        <w:rPr>
          <w:bCs/>
          <w:sz w:val="22"/>
          <w:szCs w:val="22"/>
        </w:rPr>
        <w:t xml:space="preserve"> </w:t>
      </w:r>
      <w:r w:rsidR="00AB4B25" w:rsidRPr="00AB4B25">
        <w:rPr>
          <w:bCs/>
          <w:sz w:val="22"/>
          <w:szCs w:val="22"/>
        </w:rPr>
        <w:t>autos</w:t>
      </w:r>
      <w:r w:rsidR="009B0CD4">
        <w:rPr>
          <w:bCs/>
          <w:sz w:val="22"/>
          <w:szCs w:val="22"/>
        </w:rPr>
        <w:t>.</w:t>
      </w:r>
      <w:r w:rsidR="000621BB" w:rsidRPr="00C45CBD">
        <w:rPr>
          <w:bCs/>
          <w:sz w:val="22"/>
          <w:szCs w:val="22"/>
        </w:rPr>
        <w:t xml:space="preserve"> </w:t>
      </w:r>
    </w:p>
    <w:p w:rsidR="001129F9" w:rsidRDefault="001129F9" w:rsidP="00611CB0">
      <w:pPr>
        <w:rPr>
          <w:b/>
          <w:bCs/>
          <w:sz w:val="22"/>
          <w:szCs w:val="22"/>
        </w:rPr>
      </w:pPr>
    </w:p>
    <w:p w:rsidR="002C2852" w:rsidRPr="002C2852" w:rsidRDefault="002C2852" w:rsidP="002C2852">
      <w:pPr>
        <w:pStyle w:val="PargrafodaLista"/>
        <w:spacing w:line="300" w:lineRule="auto"/>
        <w:ind w:left="0" w:firstLine="1134"/>
        <w:rPr>
          <w:sz w:val="22"/>
          <w:szCs w:val="22"/>
        </w:rPr>
      </w:pPr>
      <w:r w:rsidRPr="002C2852">
        <w:rPr>
          <w:sz w:val="22"/>
          <w:szCs w:val="22"/>
        </w:rPr>
        <w:t xml:space="preserve">Em síntese, contesta a impugnante quanto aos banheiros químicos - itens </w:t>
      </w:r>
      <w:proofErr w:type="gramStart"/>
      <w:r w:rsidRPr="002C2852">
        <w:rPr>
          <w:sz w:val="22"/>
          <w:szCs w:val="22"/>
        </w:rPr>
        <w:t>4</w:t>
      </w:r>
      <w:proofErr w:type="gramEnd"/>
      <w:r w:rsidRPr="002C2852">
        <w:rPr>
          <w:sz w:val="22"/>
          <w:szCs w:val="22"/>
        </w:rPr>
        <w:t xml:space="preserve"> e 5 do Quadro de Especificação do Termo de Referência:</w:t>
      </w:r>
    </w:p>
    <w:p w:rsidR="002C2852" w:rsidRPr="002C2852" w:rsidRDefault="002C2852" w:rsidP="002C2852">
      <w:pPr>
        <w:pStyle w:val="PargrafodaLista"/>
        <w:spacing w:line="300" w:lineRule="auto"/>
        <w:ind w:left="0" w:firstLine="1134"/>
        <w:rPr>
          <w:sz w:val="22"/>
          <w:szCs w:val="22"/>
        </w:rPr>
      </w:pPr>
    </w:p>
    <w:p w:rsidR="002C2852" w:rsidRPr="002C2852" w:rsidRDefault="002C2852" w:rsidP="002C2852">
      <w:pPr>
        <w:pStyle w:val="PargrafodaLista"/>
        <w:spacing w:line="300" w:lineRule="auto"/>
        <w:ind w:left="0" w:firstLine="1134"/>
        <w:rPr>
          <w:sz w:val="22"/>
          <w:szCs w:val="22"/>
        </w:rPr>
      </w:pPr>
      <w:r w:rsidRPr="002C2852">
        <w:rPr>
          <w:sz w:val="22"/>
          <w:szCs w:val="22"/>
        </w:rPr>
        <w:t xml:space="preserve">- Quanto à exigência para os itens </w:t>
      </w:r>
      <w:proofErr w:type="gramStart"/>
      <w:r w:rsidRPr="002C2852">
        <w:rPr>
          <w:sz w:val="22"/>
          <w:szCs w:val="22"/>
        </w:rPr>
        <w:t>4</w:t>
      </w:r>
      <w:proofErr w:type="gramEnd"/>
      <w:r w:rsidRPr="002C2852">
        <w:rPr>
          <w:sz w:val="22"/>
          <w:szCs w:val="22"/>
        </w:rPr>
        <w:t xml:space="preserve"> e 5 da exigência do item 10.8.1 “a.4” do edital, alegando que a mesma deve recair apenas para os itens 1, 2 e 3.</w:t>
      </w:r>
    </w:p>
    <w:p w:rsidR="002C2852" w:rsidRPr="002C2852" w:rsidRDefault="002C2852" w:rsidP="002C2852">
      <w:pPr>
        <w:pStyle w:val="PargrafodaLista"/>
        <w:spacing w:line="300" w:lineRule="auto"/>
        <w:ind w:left="0" w:firstLine="1134"/>
        <w:jc w:val="both"/>
        <w:rPr>
          <w:sz w:val="22"/>
          <w:szCs w:val="22"/>
        </w:rPr>
      </w:pPr>
    </w:p>
    <w:p w:rsidR="002C2852" w:rsidRPr="002C2852" w:rsidRDefault="002C2852" w:rsidP="002C2852">
      <w:pPr>
        <w:pStyle w:val="PargrafodaLista"/>
        <w:spacing w:line="300" w:lineRule="auto"/>
        <w:ind w:left="0" w:firstLine="1134"/>
        <w:jc w:val="both"/>
        <w:rPr>
          <w:sz w:val="22"/>
          <w:szCs w:val="22"/>
        </w:rPr>
      </w:pPr>
      <w:r w:rsidRPr="002C2852">
        <w:rPr>
          <w:sz w:val="22"/>
          <w:szCs w:val="22"/>
        </w:rPr>
        <w:lastRenderedPageBreak/>
        <w:t xml:space="preserve">- Da inexistência de licença de operação do veículo exigida no item 4.2 “a”, alegando </w:t>
      </w:r>
      <w:r w:rsidRPr="002C2852">
        <w:rPr>
          <w:i/>
          <w:sz w:val="22"/>
          <w:szCs w:val="22"/>
        </w:rPr>
        <w:t>“Vislumbra-se na alínea “a” que provavelmente por um lapso, exigiu-se licença de operação do</w:t>
      </w:r>
      <w:proofErr w:type="gramStart"/>
      <w:r w:rsidRPr="002C2852">
        <w:rPr>
          <w:i/>
          <w:sz w:val="22"/>
          <w:szCs w:val="22"/>
        </w:rPr>
        <w:t xml:space="preserve">  </w:t>
      </w:r>
      <w:proofErr w:type="gramEnd"/>
      <w:r w:rsidRPr="002C2852">
        <w:rPr>
          <w:i/>
          <w:sz w:val="22"/>
          <w:szCs w:val="22"/>
        </w:rPr>
        <w:t>veículo e não da licença de operação para transporte e tratamento e destinação final dos resíduos sanitários. Inexiste licença de operação do veículo, conforme exigido.”</w:t>
      </w:r>
    </w:p>
    <w:p w:rsidR="002C2852" w:rsidRPr="002C2852" w:rsidRDefault="002C2852" w:rsidP="002C2852">
      <w:pPr>
        <w:autoSpaceDE w:val="0"/>
        <w:autoSpaceDN w:val="0"/>
        <w:adjustRightInd w:val="0"/>
        <w:ind w:firstLine="1134"/>
        <w:rPr>
          <w:i/>
          <w:sz w:val="22"/>
          <w:szCs w:val="22"/>
        </w:rPr>
      </w:pPr>
      <w:r w:rsidRPr="002C2852">
        <w:rPr>
          <w:sz w:val="22"/>
          <w:szCs w:val="22"/>
        </w:rPr>
        <w:t xml:space="preserve">Traz que esta alínea “a” deve ser retificada para </w:t>
      </w:r>
      <w:r w:rsidRPr="002C2852">
        <w:rPr>
          <w:i/>
          <w:sz w:val="22"/>
          <w:szCs w:val="22"/>
        </w:rPr>
        <w:t>“Licença de Operação da empresa licitante, expedida por órgão ambiental municipal ou estadual para transporte, tratamento e destinação final dos resíduos sanitários”, e que essa exigência seja incluída no item 10.8.1 do edital, como condições de qualificação técnica.</w:t>
      </w:r>
      <w:proofErr w:type="gramStart"/>
      <w:r w:rsidRPr="002C2852">
        <w:rPr>
          <w:i/>
          <w:sz w:val="22"/>
          <w:szCs w:val="22"/>
        </w:rPr>
        <w:t>”</w:t>
      </w:r>
      <w:proofErr w:type="gramEnd"/>
    </w:p>
    <w:p w:rsidR="002C2852" w:rsidRPr="002C2852" w:rsidRDefault="002C2852" w:rsidP="002C2852">
      <w:pPr>
        <w:pStyle w:val="PargrafodaLista"/>
        <w:spacing w:line="300" w:lineRule="auto"/>
        <w:ind w:left="0" w:firstLine="1134"/>
        <w:rPr>
          <w:b/>
          <w:sz w:val="22"/>
          <w:szCs w:val="22"/>
        </w:rPr>
      </w:pPr>
    </w:p>
    <w:p w:rsidR="002C2852" w:rsidRPr="002C2852" w:rsidRDefault="002C2852" w:rsidP="002C2852">
      <w:pPr>
        <w:pStyle w:val="PargrafodaLista"/>
        <w:spacing w:line="300" w:lineRule="auto"/>
        <w:ind w:left="0" w:firstLine="1134"/>
        <w:jc w:val="both"/>
        <w:rPr>
          <w:i/>
          <w:sz w:val="22"/>
          <w:szCs w:val="22"/>
        </w:rPr>
      </w:pPr>
      <w:r w:rsidRPr="002C2852">
        <w:rPr>
          <w:b/>
          <w:sz w:val="22"/>
          <w:szCs w:val="22"/>
        </w:rPr>
        <w:t xml:space="preserve">- </w:t>
      </w:r>
      <w:r w:rsidRPr="002C2852">
        <w:rPr>
          <w:sz w:val="22"/>
          <w:szCs w:val="22"/>
        </w:rPr>
        <w:t xml:space="preserve">Que quanto </w:t>
      </w:r>
      <w:proofErr w:type="gramStart"/>
      <w:r w:rsidRPr="002C2852">
        <w:rPr>
          <w:sz w:val="22"/>
          <w:szCs w:val="22"/>
        </w:rPr>
        <w:t>a</w:t>
      </w:r>
      <w:proofErr w:type="gramEnd"/>
      <w:r w:rsidRPr="002C2852">
        <w:rPr>
          <w:sz w:val="22"/>
          <w:szCs w:val="22"/>
        </w:rPr>
        <w:t xml:space="preserve"> alínea “c” é preciso </w:t>
      </w:r>
      <w:r w:rsidRPr="002C2852">
        <w:rPr>
          <w:i/>
          <w:sz w:val="22"/>
          <w:szCs w:val="22"/>
        </w:rPr>
        <w:t>“informar que a Licença de Operação para o descarte dos dejetos é concedida pelo órgão competente. Diante disso, indagamos se há necessidade da apresentação de certidão ou declaração, uma vez que o próprio órgão é responsável pela expedição do documento necessário para a comprovação solicitada.”</w:t>
      </w:r>
    </w:p>
    <w:p w:rsidR="002C2852" w:rsidRPr="002C2852" w:rsidRDefault="002C2852" w:rsidP="002C2852">
      <w:pPr>
        <w:pStyle w:val="PargrafodaLista"/>
        <w:spacing w:line="300" w:lineRule="auto"/>
        <w:ind w:left="0" w:firstLine="1134"/>
        <w:jc w:val="both"/>
        <w:rPr>
          <w:sz w:val="22"/>
          <w:szCs w:val="22"/>
        </w:rPr>
      </w:pPr>
    </w:p>
    <w:p w:rsidR="002C2852" w:rsidRPr="002C2852" w:rsidRDefault="002C2852" w:rsidP="002C2852">
      <w:pPr>
        <w:autoSpaceDE w:val="0"/>
        <w:autoSpaceDN w:val="0"/>
        <w:adjustRightInd w:val="0"/>
        <w:ind w:firstLine="1134"/>
        <w:rPr>
          <w:b/>
          <w:sz w:val="22"/>
          <w:szCs w:val="22"/>
        </w:rPr>
      </w:pPr>
      <w:r w:rsidRPr="002C2852">
        <w:rPr>
          <w:sz w:val="22"/>
          <w:szCs w:val="22"/>
        </w:rPr>
        <w:t>Que, considerando as atividades de tratamento e transporte dos resíduos “</w:t>
      </w:r>
      <w:r w:rsidRPr="002C2852">
        <w:rPr>
          <w:i/>
          <w:sz w:val="22"/>
          <w:szCs w:val="22"/>
        </w:rPr>
        <w:t>a empresa que atua com essa atividade precisa ter a licença de operação para: locar, transportar, higienizar, armazenar e tratar os agentes poluentes, bem como destinar os resíduos a uma estação de tratamento devidamente licenciada.</w:t>
      </w:r>
      <w:proofErr w:type="gramStart"/>
      <w:r w:rsidRPr="002C2852">
        <w:rPr>
          <w:i/>
          <w:sz w:val="22"/>
          <w:szCs w:val="22"/>
        </w:rPr>
        <w:t>”</w:t>
      </w:r>
      <w:proofErr w:type="gramEnd"/>
    </w:p>
    <w:p w:rsidR="002C2852" w:rsidRPr="002C2852" w:rsidRDefault="002C2852" w:rsidP="002C2852">
      <w:pPr>
        <w:pStyle w:val="PargrafodaLista"/>
        <w:spacing w:line="300" w:lineRule="auto"/>
        <w:ind w:left="0" w:firstLine="1134"/>
        <w:jc w:val="both"/>
        <w:rPr>
          <w:b/>
          <w:sz w:val="22"/>
          <w:szCs w:val="22"/>
        </w:rPr>
      </w:pPr>
    </w:p>
    <w:p w:rsidR="002C2852" w:rsidRPr="002C2852" w:rsidRDefault="002C2852" w:rsidP="002C2852">
      <w:pPr>
        <w:pStyle w:val="PargrafodaLista"/>
        <w:spacing w:line="300" w:lineRule="auto"/>
        <w:ind w:left="0" w:firstLine="1134"/>
        <w:jc w:val="both"/>
        <w:rPr>
          <w:sz w:val="22"/>
          <w:szCs w:val="22"/>
        </w:rPr>
      </w:pPr>
      <w:r w:rsidRPr="002C2852">
        <w:rPr>
          <w:sz w:val="22"/>
          <w:szCs w:val="22"/>
        </w:rPr>
        <w:t>Como embasamento legal para a exigência das licenças de operação na fase de habilitação – qualificação técnica cita o inc. IV do art. 30 da Lei nº 8.666/93 e</w:t>
      </w:r>
      <w:proofErr w:type="gramStart"/>
      <w:r w:rsidRPr="002C2852">
        <w:rPr>
          <w:sz w:val="22"/>
          <w:szCs w:val="22"/>
        </w:rPr>
        <w:t xml:space="preserve">  </w:t>
      </w:r>
      <w:proofErr w:type="gramEnd"/>
      <w:r w:rsidRPr="002C2852">
        <w:rPr>
          <w:sz w:val="22"/>
          <w:szCs w:val="22"/>
        </w:rPr>
        <w:t>cita o art. 6º da Lei 6.938/91 que estabelece normas de Política do Meio Ambiente e norma do CONAMA pertinente.</w:t>
      </w:r>
    </w:p>
    <w:p w:rsidR="002C2852" w:rsidRDefault="002C2852" w:rsidP="002C2852">
      <w:pPr>
        <w:pStyle w:val="PargrafodaLista"/>
        <w:spacing w:line="300" w:lineRule="auto"/>
        <w:ind w:left="0" w:firstLine="1134"/>
        <w:jc w:val="both"/>
      </w:pPr>
    </w:p>
    <w:p w:rsidR="002C2852" w:rsidRDefault="002C2852" w:rsidP="002C2852">
      <w:pPr>
        <w:pStyle w:val="PargrafodaLista"/>
        <w:spacing w:line="300" w:lineRule="auto"/>
        <w:ind w:left="0" w:firstLine="1134"/>
        <w:jc w:val="both"/>
        <w:rPr>
          <w:i/>
        </w:rPr>
      </w:pPr>
      <w:r>
        <w:t xml:space="preserve">Colaciona jurisprudência do TCU sobre o tema, </w:t>
      </w:r>
      <w:r w:rsidRPr="00AD6C59">
        <w:rPr>
          <w:i/>
        </w:rPr>
        <w:t xml:space="preserve">in </w:t>
      </w:r>
      <w:proofErr w:type="spellStart"/>
      <w:r w:rsidRPr="00AD6C59">
        <w:rPr>
          <w:i/>
        </w:rPr>
        <w:t>verbis</w:t>
      </w:r>
      <w:proofErr w:type="spellEnd"/>
      <w:r>
        <w:rPr>
          <w:i/>
        </w:rPr>
        <w:t>:</w:t>
      </w:r>
    </w:p>
    <w:p w:rsidR="002C2852" w:rsidRDefault="002C2852" w:rsidP="002C2852">
      <w:pPr>
        <w:pStyle w:val="PargrafodaLista"/>
        <w:spacing w:line="300" w:lineRule="auto"/>
        <w:ind w:left="0" w:firstLine="1134"/>
        <w:jc w:val="both"/>
        <w:rPr>
          <w:i/>
        </w:rPr>
      </w:pPr>
    </w:p>
    <w:p w:rsidR="002C2852" w:rsidRDefault="002C2852" w:rsidP="002C2852">
      <w:pPr>
        <w:autoSpaceDE w:val="0"/>
        <w:autoSpaceDN w:val="0"/>
        <w:adjustRightInd w:val="0"/>
        <w:ind w:left="2835"/>
        <w:rPr>
          <w:b/>
        </w:rPr>
      </w:pPr>
      <w:r w:rsidRPr="00AD6C59">
        <w:rPr>
          <w:b/>
        </w:rPr>
        <w:t>Contratação pública – Licitação – Habilitação – Licenciamento ambiental – Amplitude – Legislação especial – TCU</w:t>
      </w:r>
    </w:p>
    <w:p w:rsidR="002C2852" w:rsidRPr="00AD6C59" w:rsidRDefault="002C2852" w:rsidP="002C2852">
      <w:pPr>
        <w:autoSpaceDE w:val="0"/>
        <w:autoSpaceDN w:val="0"/>
        <w:adjustRightInd w:val="0"/>
        <w:ind w:left="2835"/>
      </w:pPr>
      <w:r w:rsidRPr="00AD6C59">
        <w:t>Sobre a exigência de licenciamento ambiental, o TCU</w:t>
      </w:r>
      <w:r>
        <w:t xml:space="preserve"> </w:t>
      </w:r>
      <w:r w:rsidRPr="00AD6C59">
        <w:rPr>
          <w:b/>
        </w:rPr>
        <w:t xml:space="preserve">manifestou-se no sentido de “determinar (...) que, nas futuras licitações, observe o disposto nos </w:t>
      </w:r>
      <w:proofErr w:type="spellStart"/>
      <w:r w:rsidRPr="00AD6C59">
        <w:rPr>
          <w:b/>
        </w:rPr>
        <w:t>arts</w:t>
      </w:r>
      <w:proofErr w:type="spellEnd"/>
      <w:r w:rsidRPr="00AD6C59">
        <w:rPr>
          <w:b/>
        </w:rPr>
        <w:t xml:space="preserve">. 28, inciso V, e 30, inciso IV, da Lei 8.666/1993, atentando para que as situações que envolvam aspectos referentes à legislação ambiental, especificamente no que se refere à exigência de apresentação da licença de operação concedida pelo Órgão ambiental do estado onde a licitante esteja localizada e/ou daquele onde os serviços serão prestados, conforme for o caso, e segundo dispuser a regulamentação ambiental específica, contemplando a autorização para o funcionamento de suas instalações e </w:t>
      </w:r>
      <w:proofErr w:type="spellStart"/>
      <w:r w:rsidRPr="00AD6C59">
        <w:rPr>
          <w:b/>
        </w:rPr>
        <w:t>aprestação</w:t>
      </w:r>
      <w:proofErr w:type="spellEnd"/>
      <w:r w:rsidRPr="00AD6C59">
        <w:rPr>
          <w:b/>
        </w:rPr>
        <w:t xml:space="preserve"> do serviço licitado”</w:t>
      </w:r>
      <w:r w:rsidRPr="00AD6C59">
        <w:t>. (TCU, Acórdão nº 247/2009,</w:t>
      </w:r>
      <w:r>
        <w:t xml:space="preserve"> </w:t>
      </w:r>
      <w:r w:rsidRPr="00AD6C59">
        <w:t xml:space="preserve">Plenário, Rel. Min. Augusto </w:t>
      </w:r>
      <w:proofErr w:type="spellStart"/>
      <w:r w:rsidRPr="00AD6C59">
        <w:t>Sherman</w:t>
      </w:r>
      <w:proofErr w:type="spellEnd"/>
      <w:r w:rsidRPr="00AD6C59">
        <w:t xml:space="preserve"> Cavalcanti, DOU de</w:t>
      </w:r>
      <w:r>
        <w:t xml:space="preserve"> </w:t>
      </w:r>
      <w:r w:rsidRPr="00AD6C59">
        <w:t>06.03.2009.)</w:t>
      </w:r>
      <w:r>
        <w:t xml:space="preserve"> </w:t>
      </w:r>
      <w:r w:rsidRPr="00AD6C59">
        <w:t>(grifo nosso</w:t>
      </w:r>
      <w:proofErr w:type="gramStart"/>
      <w:r w:rsidRPr="00AD6C59">
        <w:t>)</w:t>
      </w:r>
      <w:proofErr w:type="gramEnd"/>
    </w:p>
    <w:p w:rsidR="002C2852" w:rsidRPr="00AD6C59" w:rsidRDefault="002C2852" w:rsidP="002C2852">
      <w:pPr>
        <w:spacing w:line="300" w:lineRule="auto"/>
        <w:ind w:left="2835"/>
      </w:pPr>
    </w:p>
    <w:p w:rsidR="002C2852" w:rsidRDefault="002C2852" w:rsidP="002C2852">
      <w:pPr>
        <w:autoSpaceDE w:val="0"/>
        <w:autoSpaceDN w:val="0"/>
        <w:adjustRightInd w:val="0"/>
        <w:ind w:left="2835"/>
      </w:pPr>
      <w:r w:rsidRPr="00AD6C59">
        <w:rPr>
          <w:b/>
        </w:rPr>
        <w:t xml:space="preserve">Contratação pública – Licitação – Edital – Habilitação técnica – Alvará expedido pela Vigilância Sanitária – Certificado de Vistoria, Licença e Transporte expedido pela SESP – Legislação especial – Possibilidade – </w:t>
      </w:r>
      <w:proofErr w:type="gramStart"/>
      <w:r w:rsidRPr="00AD6C59">
        <w:rPr>
          <w:b/>
        </w:rPr>
        <w:t>TCU</w:t>
      </w:r>
      <w:proofErr w:type="gramEnd"/>
    </w:p>
    <w:p w:rsidR="002C2852" w:rsidRPr="00AD6C59" w:rsidRDefault="002C2852" w:rsidP="002C2852">
      <w:pPr>
        <w:autoSpaceDE w:val="0"/>
        <w:autoSpaceDN w:val="0"/>
        <w:adjustRightInd w:val="0"/>
        <w:ind w:left="2835"/>
      </w:pPr>
      <w:r>
        <w:t xml:space="preserve"> </w:t>
      </w:r>
      <w:proofErr w:type="gramStart"/>
      <w:r w:rsidRPr="00AD6C59">
        <w:t>“Quanto à apresentação de alvará</w:t>
      </w:r>
      <w:proofErr w:type="gramEnd"/>
      <w:r w:rsidRPr="00AD6C59">
        <w:t xml:space="preserve"> expedido pela Vigilância</w:t>
      </w:r>
      <w:r>
        <w:t xml:space="preserve"> </w:t>
      </w:r>
      <w:r w:rsidRPr="00AD6C59">
        <w:t>Sanitária e de certificado de Vistoria, Licença e Transporte</w:t>
      </w:r>
      <w:r>
        <w:t xml:space="preserve"> </w:t>
      </w:r>
      <w:r w:rsidRPr="00AD6C59">
        <w:t xml:space="preserve">expedido pela Secretaria de </w:t>
      </w:r>
      <w:r w:rsidRPr="00AD6C59">
        <w:lastRenderedPageBreak/>
        <w:t>Segurança Pública, não vejo,</w:t>
      </w:r>
      <w:r>
        <w:t xml:space="preserve"> </w:t>
      </w:r>
      <w:r w:rsidRPr="00AD6C59">
        <w:t>com os elementos presentes nos autos, como atestar</w:t>
      </w:r>
      <w:r>
        <w:t xml:space="preserve"> </w:t>
      </w:r>
      <w:r w:rsidRPr="00AD6C59">
        <w:t>peremptoriamente a irregularidade apontada pelo</w:t>
      </w:r>
      <w:r>
        <w:t xml:space="preserve"> </w:t>
      </w:r>
      <w:r w:rsidRPr="00AD6C59">
        <w:t>representante e pela unidade técnica. Em primeiro lugar,</w:t>
      </w:r>
      <w:r>
        <w:t xml:space="preserve"> </w:t>
      </w:r>
      <w:r w:rsidRPr="00AD6C59">
        <w:t>apesar de haver jurisprudência desta Corte julgando</w:t>
      </w:r>
      <w:r>
        <w:t xml:space="preserve"> </w:t>
      </w:r>
      <w:r w:rsidRPr="00AD6C59">
        <w:t>irregular a exigência de apresentação de documentação</w:t>
      </w:r>
      <w:r>
        <w:t xml:space="preserve"> </w:t>
      </w:r>
      <w:r w:rsidRPr="00AD6C59">
        <w:t>dessa natureza (Decisão 739/2001 - Plenário, Relator</w:t>
      </w:r>
    </w:p>
    <w:p w:rsidR="002C2852" w:rsidRPr="00AD6C59" w:rsidRDefault="002C2852" w:rsidP="002C2852">
      <w:pPr>
        <w:autoSpaceDE w:val="0"/>
        <w:autoSpaceDN w:val="0"/>
        <w:adjustRightInd w:val="0"/>
        <w:ind w:left="2835"/>
        <w:rPr>
          <w:b/>
        </w:rPr>
      </w:pPr>
      <w:proofErr w:type="gramStart"/>
      <w:r w:rsidRPr="00AD6C59">
        <w:t>Ministro Ubiratan Aguiar)</w:t>
      </w:r>
      <w:proofErr w:type="gramEnd"/>
      <w:r w:rsidRPr="00AD6C59">
        <w:t>, registro a existência de</w:t>
      </w:r>
      <w:r>
        <w:t xml:space="preserve"> </w:t>
      </w:r>
      <w:r w:rsidRPr="00AD6C59">
        <w:t>precedente em sentido contrário (Decisão 363/1999 -</w:t>
      </w:r>
      <w:r>
        <w:t xml:space="preserve"> </w:t>
      </w:r>
      <w:r w:rsidRPr="00AD6C59">
        <w:t>Plenário, Relator Ministro Humberto Guimarães Souto).</w:t>
      </w:r>
      <w:r>
        <w:t xml:space="preserve"> </w:t>
      </w:r>
      <w:r w:rsidRPr="00AD6C59">
        <w:rPr>
          <w:b/>
        </w:rPr>
        <w:t xml:space="preserve">Ademais, a apresentação de documentação </w:t>
      </w:r>
      <w:proofErr w:type="gramStart"/>
      <w:r w:rsidRPr="00AD6C59">
        <w:rPr>
          <w:b/>
        </w:rPr>
        <w:t>exigida</w:t>
      </w:r>
      <w:proofErr w:type="gramEnd"/>
    </w:p>
    <w:p w:rsidR="002C2852" w:rsidRPr="00AD6C59" w:rsidRDefault="002C2852" w:rsidP="002C2852">
      <w:pPr>
        <w:autoSpaceDE w:val="0"/>
        <w:autoSpaceDN w:val="0"/>
        <w:adjustRightInd w:val="0"/>
        <w:ind w:left="2835"/>
      </w:pPr>
      <w:proofErr w:type="gramStart"/>
      <w:r w:rsidRPr="00AD6C59">
        <w:rPr>
          <w:b/>
        </w:rPr>
        <w:t>em</w:t>
      </w:r>
      <w:proofErr w:type="gramEnd"/>
      <w:r w:rsidRPr="00AD6C59">
        <w:rPr>
          <w:b/>
        </w:rPr>
        <w:t xml:space="preserve"> legislação especial encontra amparo no art. 30, IV, da Lei nº 8.666/93”.</w:t>
      </w:r>
      <w:r w:rsidRPr="00AD6C59">
        <w:t xml:space="preserve"> (TCU, Acórdão nº 473/2004,</w:t>
      </w:r>
      <w:r>
        <w:t xml:space="preserve"> </w:t>
      </w:r>
      <w:r w:rsidRPr="00AD6C59">
        <w:t xml:space="preserve">Plenário, Rel. Min. Marcos </w:t>
      </w:r>
      <w:proofErr w:type="spellStart"/>
      <w:r w:rsidRPr="00AD6C59">
        <w:t>Vinicios</w:t>
      </w:r>
      <w:proofErr w:type="spellEnd"/>
      <w:r w:rsidRPr="00AD6C59">
        <w:t xml:space="preserve"> </w:t>
      </w:r>
      <w:proofErr w:type="spellStart"/>
      <w:r w:rsidRPr="00AD6C59">
        <w:t>Vilaça</w:t>
      </w:r>
      <w:proofErr w:type="spellEnd"/>
      <w:r w:rsidRPr="00AD6C59">
        <w:t>, DOU de</w:t>
      </w:r>
      <w:r>
        <w:t xml:space="preserve"> </w:t>
      </w:r>
      <w:r w:rsidRPr="00AD6C59">
        <w:t>12.05.2004.)</w:t>
      </w:r>
      <w:r>
        <w:t xml:space="preserve"> </w:t>
      </w:r>
      <w:r w:rsidRPr="00AD6C59">
        <w:rPr>
          <w:b/>
        </w:rPr>
        <w:t>(grifo nosso)</w:t>
      </w:r>
    </w:p>
    <w:p w:rsidR="002C2852" w:rsidRPr="00AD6C59" w:rsidRDefault="002C2852" w:rsidP="002C2852">
      <w:pPr>
        <w:spacing w:line="300" w:lineRule="auto"/>
        <w:ind w:left="2835"/>
        <w:rPr>
          <w:i/>
        </w:rPr>
      </w:pPr>
    </w:p>
    <w:p w:rsidR="002C2852" w:rsidRPr="00AD6C59" w:rsidRDefault="002C2852" w:rsidP="002C2852">
      <w:pPr>
        <w:autoSpaceDE w:val="0"/>
        <w:autoSpaceDN w:val="0"/>
        <w:adjustRightInd w:val="0"/>
        <w:ind w:left="2835"/>
      </w:pPr>
      <w:r w:rsidRPr="00AD6C59">
        <w:t>Contratação pública – Licitação – Habilitação –</w:t>
      </w:r>
      <w:r>
        <w:t xml:space="preserve"> </w:t>
      </w:r>
      <w:r w:rsidRPr="00AD6C59">
        <w:t>Capacidade técnica – Exigência – Previsão em lei</w:t>
      </w:r>
      <w:r>
        <w:t xml:space="preserve"> </w:t>
      </w:r>
      <w:r w:rsidRPr="00AD6C59">
        <w:t>especial – TCU</w:t>
      </w:r>
      <w:r>
        <w:t xml:space="preserve"> </w:t>
      </w:r>
      <w:r w:rsidRPr="00AD6C59">
        <w:t>O TCU julgou legal edital que contemplava exigências de</w:t>
      </w:r>
      <w:r>
        <w:t xml:space="preserve"> </w:t>
      </w:r>
      <w:r w:rsidRPr="00AD6C59">
        <w:t>requisitos previstos em lei especial, entendendo que a</w:t>
      </w:r>
      <w:r>
        <w:t xml:space="preserve"> </w:t>
      </w:r>
      <w:r w:rsidRPr="00AD6C59">
        <w:t xml:space="preserve">expressão “lei especial”, contida no inc. IV do art. 30 </w:t>
      </w:r>
      <w:proofErr w:type="gramStart"/>
      <w:r w:rsidRPr="00AD6C59">
        <w:t>da</w:t>
      </w:r>
      <w:proofErr w:type="gramEnd"/>
    </w:p>
    <w:p w:rsidR="002C2852" w:rsidRPr="00AD6C59" w:rsidRDefault="002C2852" w:rsidP="002C2852">
      <w:pPr>
        <w:autoSpaceDE w:val="0"/>
        <w:autoSpaceDN w:val="0"/>
        <w:adjustRightInd w:val="0"/>
        <w:ind w:left="2835"/>
      </w:pPr>
      <w:r w:rsidRPr="00AD6C59">
        <w:t>Lei nº 8.666/93</w:t>
      </w:r>
      <w:proofErr w:type="gramStart"/>
      <w:r w:rsidRPr="00AD6C59">
        <w:t>, deve</w:t>
      </w:r>
      <w:proofErr w:type="gramEnd"/>
      <w:r w:rsidRPr="00AD6C59">
        <w:t xml:space="preserve"> ser interpretada no sentido lato,</w:t>
      </w:r>
      <w:r>
        <w:t xml:space="preserve"> </w:t>
      </w:r>
      <w:r w:rsidRPr="00AD6C59">
        <w:t>englobando inclusive regulamentos executivos. (TCU,</w:t>
      </w:r>
      <w:r>
        <w:t xml:space="preserve"> </w:t>
      </w:r>
      <w:r w:rsidRPr="00AD6C59">
        <w:t>Acórdão nº 1.157/2005, 1ª Câmara, Rel. Min. Valmir</w:t>
      </w:r>
      <w:r>
        <w:t xml:space="preserve"> </w:t>
      </w:r>
      <w:r w:rsidRPr="00AD6C59">
        <w:t xml:space="preserve">Campelo, DOU de 22.06.2005, veiculado na </w:t>
      </w:r>
      <w:r w:rsidRPr="00AD6C59">
        <w:rPr>
          <w:i/>
          <w:iCs/>
        </w:rPr>
        <w:t>Revista Zênite</w:t>
      </w:r>
      <w:r>
        <w:rPr>
          <w:i/>
          <w:iCs/>
        </w:rPr>
        <w:t xml:space="preserve"> </w:t>
      </w:r>
      <w:r w:rsidRPr="00AD6C59">
        <w:rPr>
          <w:i/>
          <w:iCs/>
        </w:rPr>
        <w:t>de Licitações e Contratos - ILC</w:t>
      </w:r>
      <w:r w:rsidRPr="00AD6C59">
        <w:t>, Curitiba: Zênite, n. 147, p.</w:t>
      </w:r>
      <w:r>
        <w:t xml:space="preserve"> </w:t>
      </w:r>
      <w:r w:rsidRPr="00AD6C59">
        <w:t>472, maio 2006, seção Tribunais de Contas.</w:t>
      </w:r>
      <w:proofErr w:type="gramStart"/>
      <w:r w:rsidRPr="00AD6C59">
        <w:t>)</w:t>
      </w:r>
      <w:proofErr w:type="gramEnd"/>
    </w:p>
    <w:p w:rsidR="002C2852" w:rsidRDefault="002C2852" w:rsidP="002C2852">
      <w:pPr>
        <w:pStyle w:val="PargrafodaLista"/>
        <w:spacing w:line="300" w:lineRule="auto"/>
        <w:ind w:left="0" w:firstLine="1134"/>
        <w:jc w:val="both"/>
        <w:rPr>
          <w:rFonts w:ascii="Verdana" w:hAnsi="Verdana" w:cs="Verdana"/>
          <w:sz w:val="17"/>
          <w:szCs w:val="17"/>
        </w:rPr>
      </w:pPr>
    </w:p>
    <w:p w:rsidR="002C2852" w:rsidRPr="006B7A3A" w:rsidRDefault="002C2852" w:rsidP="002C2852">
      <w:pPr>
        <w:pStyle w:val="PargrafodaLista"/>
        <w:spacing w:line="300" w:lineRule="auto"/>
        <w:ind w:left="0" w:firstLine="1134"/>
        <w:jc w:val="both"/>
      </w:pPr>
      <w:r w:rsidRPr="006B7A3A">
        <w:t>Como pedido requer:</w:t>
      </w:r>
    </w:p>
    <w:p w:rsidR="002C2852" w:rsidRPr="006B7A3A" w:rsidRDefault="002C2852" w:rsidP="002C2852">
      <w:pPr>
        <w:autoSpaceDE w:val="0"/>
        <w:autoSpaceDN w:val="0"/>
        <w:adjustRightInd w:val="0"/>
        <w:ind w:left="2835"/>
      </w:pPr>
      <w:r w:rsidRPr="006B7A3A">
        <w:t>“</w:t>
      </w:r>
      <w:proofErr w:type="gramStart"/>
      <w:r w:rsidRPr="006B7A3A">
        <w:t>a)</w:t>
      </w:r>
      <w:proofErr w:type="gramEnd"/>
      <w:r w:rsidRPr="006B7A3A">
        <w:t xml:space="preserve"> o recebimento e acolhimento da impugnação ora apresentada, na forma dos §§ 1° e 2°, do artigo</w:t>
      </w:r>
      <w:r>
        <w:t xml:space="preserve"> </w:t>
      </w:r>
      <w:r w:rsidRPr="006B7A3A">
        <w:t>18 do Decreto 12.205/2006, retificando e incluindo o que se segue:</w:t>
      </w:r>
    </w:p>
    <w:p w:rsidR="002C2852" w:rsidRPr="006B7A3A" w:rsidRDefault="002C2852" w:rsidP="002C2852">
      <w:pPr>
        <w:autoSpaceDE w:val="0"/>
        <w:autoSpaceDN w:val="0"/>
        <w:adjustRightInd w:val="0"/>
        <w:ind w:left="2835"/>
      </w:pPr>
      <w:proofErr w:type="gramStart"/>
      <w:r w:rsidRPr="006B7A3A">
        <w:t>a.</w:t>
      </w:r>
      <w:proofErr w:type="gramEnd"/>
      <w:r w:rsidRPr="006B7A3A">
        <w:t>1) Limitar a exigência do item 10.8.1, alínea “a.4” para os itens 1, 2 e 3 do edital, excluindo a</w:t>
      </w:r>
      <w:r>
        <w:t xml:space="preserve"> </w:t>
      </w:r>
      <w:r w:rsidRPr="006B7A3A">
        <w:t>exigência para as participantes dos itens 4 e 5 (locação de banheiros químicos);</w:t>
      </w:r>
    </w:p>
    <w:p w:rsidR="002C2852" w:rsidRPr="006B7A3A" w:rsidRDefault="002C2852" w:rsidP="002C2852">
      <w:pPr>
        <w:autoSpaceDE w:val="0"/>
        <w:autoSpaceDN w:val="0"/>
        <w:adjustRightInd w:val="0"/>
        <w:ind w:left="2835"/>
      </w:pPr>
      <w:proofErr w:type="gramStart"/>
      <w:r w:rsidRPr="006B7A3A">
        <w:t>a.</w:t>
      </w:r>
      <w:proofErr w:type="gramEnd"/>
      <w:r w:rsidRPr="006B7A3A">
        <w:t>2) que a exigência do termo de referência do item 4.2 alínea “a” seja retificada pela inexistência de</w:t>
      </w:r>
      <w:r>
        <w:t xml:space="preserve"> </w:t>
      </w:r>
      <w:r w:rsidRPr="006B7A3A">
        <w:t>licença de operação do veículo, e incluída a exigência na qualificação técnica no item 10.8.1 do edital</w:t>
      </w:r>
      <w:r>
        <w:t xml:space="preserve"> </w:t>
      </w:r>
      <w:r w:rsidRPr="006B7A3A">
        <w:t>para:</w:t>
      </w:r>
    </w:p>
    <w:p w:rsidR="002C2852" w:rsidRDefault="002C2852" w:rsidP="002C2852">
      <w:pPr>
        <w:autoSpaceDE w:val="0"/>
        <w:autoSpaceDN w:val="0"/>
        <w:adjustRightInd w:val="0"/>
        <w:ind w:left="2835"/>
      </w:pPr>
      <w:proofErr w:type="gramStart"/>
      <w:r w:rsidRPr="006B7A3A">
        <w:t>a.</w:t>
      </w:r>
      <w:proofErr w:type="gramEnd"/>
      <w:r w:rsidRPr="006B7A3A">
        <w:t>2.1) licença de operação da licitante emitida por órgão ambiental municipal ou estadual da licitante</w:t>
      </w:r>
      <w:r>
        <w:t xml:space="preserve"> </w:t>
      </w:r>
      <w:r w:rsidRPr="006B7A3A">
        <w:t>para transporte, tratamento e destinação de resíduos sanitários;</w:t>
      </w:r>
      <w:r>
        <w:t xml:space="preserve"> </w:t>
      </w:r>
    </w:p>
    <w:p w:rsidR="002C2852" w:rsidRPr="006B7A3A" w:rsidRDefault="002C2852" w:rsidP="002C2852">
      <w:pPr>
        <w:autoSpaceDE w:val="0"/>
        <w:autoSpaceDN w:val="0"/>
        <w:adjustRightInd w:val="0"/>
        <w:ind w:left="2835"/>
      </w:pPr>
      <w:proofErr w:type="gramStart"/>
      <w:r w:rsidRPr="006B7A3A">
        <w:t>a.</w:t>
      </w:r>
      <w:proofErr w:type="gramEnd"/>
      <w:r w:rsidRPr="006B7A3A">
        <w:t>3) que a exigência do termo de referência do item 4.2 alínea “c” seja retificada e incluída na</w:t>
      </w:r>
      <w:r>
        <w:t xml:space="preserve"> </w:t>
      </w:r>
      <w:r w:rsidRPr="006B7A3A">
        <w:t>qualificação técnica no item 10.8.1 do edital para:</w:t>
      </w:r>
    </w:p>
    <w:p w:rsidR="002C2852" w:rsidRPr="006B7A3A" w:rsidRDefault="002C2852" w:rsidP="002C2852">
      <w:pPr>
        <w:autoSpaceDE w:val="0"/>
        <w:autoSpaceDN w:val="0"/>
        <w:adjustRightInd w:val="0"/>
        <w:ind w:left="2835"/>
      </w:pPr>
      <w:proofErr w:type="gramStart"/>
      <w:r w:rsidRPr="006B7A3A">
        <w:t>a.</w:t>
      </w:r>
      <w:proofErr w:type="gramEnd"/>
      <w:r w:rsidRPr="006B7A3A">
        <w:t>3.1) licença de operação para tratamento e destinação final dos resíduos sanitários do local onde</w:t>
      </w:r>
      <w:r>
        <w:t xml:space="preserve"> </w:t>
      </w:r>
      <w:r w:rsidRPr="006B7A3A">
        <w:t>serão recebidos os dejetos da prestação de serviço. Caso a empresa não possua a estação própria de</w:t>
      </w:r>
      <w:r>
        <w:t xml:space="preserve"> </w:t>
      </w:r>
      <w:r w:rsidRPr="006B7A3A">
        <w:t>tratamento de esgoto no local da prestação dos serviços, apresentar a licença de operação da estação</w:t>
      </w:r>
      <w:r>
        <w:t xml:space="preserve"> </w:t>
      </w:r>
      <w:r w:rsidRPr="006B7A3A">
        <w:t>de receberá os dejetos oriundos da prestação do serviço, juntamente com uma declaração de</w:t>
      </w:r>
      <w:r>
        <w:t xml:space="preserve"> </w:t>
      </w:r>
      <w:r w:rsidRPr="006B7A3A">
        <w:t xml:space="preserve">anuência da empresa de estação de tratamento de </w:t>
      </w:r>
      <w:proofErr w:type="gramStart"/>
      <w:r w:rsidRPr="006B7A3A">
        <w:t>esgoto(</w:t>
      </w:r>
      <w:proofErr w:type="gramEnd"/>
      <w:r w:rsidRPr="006B7A3A">
        <w:t>ETE), de que receberá os resíduos da</w:t>
      </w:r>
      <w:r>
        <w:t xml:space="preserve"> </w:t>
      </w:r>
      <w:r w:rsidRPr="006B7A3A">
        <w:t>licitante para tratamento e destinação final, caso a mesma seja a futura CONTRATADA;</w:t>
      </w:r>
    </w:p>
    <w:p w:rsidR="002C2852" w:rsidRPr="006B7A3A" w:rsidRDefault="002C2852" w:rsidP="002C2852">
      <w:pPr>
        <w:autoSpaceDE w:val="0"/>
        <w:autoSpaceDN w:val="0"/>
        <w:adjustRightInd w:val="0"/>
        <w:ind w:left="2835"/>
      </w:pPr>
      <w:r w:rsidRPr="006B7A3A">
        <w:t>- Alternativamente, caso as exigências de licenças de operação sejam necessárias</w:t>
      </w:r>
      <w:r>
        <w:t xml:space="preserve"> </w:t>
      </w:r>
      <w:r w:rsidRPr="006B7A3A">
        <w:t>apenas para a fase anterior à contratação, que se exija das empresas declaradas</w:t>
      </w:r>
      <w:r>
        <w:t xml:space="preserve"> </w:t>
      </w:r>
      <w:r w:rsidRPr="006B7A3A">
        <w:t>vencedoras antes da assinatura do contrato, a apresentação tanto da licença de</w:t>
      </w:r>
      <w:r>
        <w:t xml:space="preserve"> </w:t>
      </w:r>
      <w:r w:rsidRPr="006B7A3A">
        <w:t>operação da empresa como da estação de tratamento, exigindo uma declaração de</w:t>
      </w:r>
      <w:r>
        <w:t xml:space="preserve"> </w:t>
      </w:r>
      <w:r w:rsidRPr="006B7A3A">
        <w:t>que apresentará esses documentos antes da assinatura contratual;</w:t>
      </w:r>
    </w:p>
    <w:p w:rsidR="002C2852" w:rsidRPr="006B7A3A" w:rsidRDefault="002C2852" w:rsidP="002C2852">
      <w:pPr>
        <w:autoSpaceDE w:val="0"/>
        <w:autoSpaceDN w:val="0"/>
        <w:adjustRightInd w:val="0"/>
        <w:ind w:left="2835"/>
      </w:pPr>
      <w:r w:rsidRPr="006B7A3A">
        <w:t>b) a divulgação, pelo mesmo instrumento de publicação em que se deu o texto</w:t>
      </w:r>
      <w:r>
        <w:t xml:space="preserve"> </w:t>
      </w:r>
      <w:r w:rsidRPr="006B7A3A">
        <w:t>original, após a modificação requerida;</w:t>
      </w:r>
    </w:p>
    <w:p w:rsidR="002C2852" w:rsidRPr="006B7A3A" w:rsidRDefault="002C2852" w:rsidP="002C2852">
      <w:pPr>
        <w:autoSpaceDE w:val="0"/>
        <w:autoSpaceDN w:val="0"/>
        <w:adjustRightInd w:val="0"/>
        <w:ind w:left="2835"/>
      </w:pPr>
      <w:r w:rsidRPr="006B7A3A">
        <w:lastRenderedPageBreak/>
        <w:t xml:space="preserve">c) </w:t>
      </w:r>
      <w:proofErr w:type="gramStart"/>
      <w:r w:rsidRPr="006B7A3A">
        <w:t>a competente decisão sobre a presente impugnação, no prazo de 24 (vinte e</w:t>
      </w:r>
      <w:r>
        <w:t xml:space="preserve"> </w:t>
      </w:r>
      <w:r w:rsidRPr="006B7A3A">
        <w:t>quatro) horas;</w:t>
      </w:r>
      <w:r>
        <w:t>”</w:t>
      </w:r>
      <w:proofErr w:type="gramEnd"/>
    </w:p>
    <w:p w:rsidR="002C2852" w:rsidRDefault="002C2852" w:rsidP="002C2852">
      <w:pPr>
        <w:pStyle w:val="PargrafodaLista"/>
        <w:spacing w:line="300" w:lineRule="auto"/>
        <w:ind w:left="0" w:firstLine="1134"/>
        <w:jc w:val="both"/>
        <w:rPr>
          <w:rFonts w:ascii="Verdana" w:hAnsi="Verdana" w:cs="Verdana"/>
          <w:sz w:val="17"/>
          <w:szCs w:val="17"/>
        </w:rPr>
      </w:pPr>
    </w:p>
    <w:p w:rsidR="002C2852" w:rsidRPr="002C2852" w:rsidRDefault="002C2852" w:rsidP="002C2852">
      <w:pPr>
        <w:autoSpaceDE w:val="0"/>
        <w:autoSpaceDN w:val="0"/>
        <w:adjustRightInd w:val="0"/>
        <w:spacing w:line="300" w:lineRule="auto"/>
        <w:rPr>
          <w:sz w:val="22"/>
          <w:szCs w:val="22"/>
        </w:rPr>
      </w:pPr>
      <w:r w:rsidRPr="002C2852">
        <w:rPr>
          <w:b/>
          <w:sz w:val="22"/>
          <w:szCs w:val="22"/>
        </w:rPr>
        <w:t xml:space="preserve">Resposta: </w:t>
      </w:r>
      <w:r w:rsidRPr="002C2852">
        <w:rPr>
          <w:sz w:val="22"/>
          <w:szCs w:val="22"/>
        </w:rPr>
        <w:t xml:space="preserve">Em razão do contido na impugnação verificamos a necessidade de adequação dos itens 4.2 (referente aos documentos pré-contratuais para os itens </w:t>
      </w:r>
      <w:proofErr w:type="gramStart"/>
      <w:r w:rsidRPr="002C2852">
        <w:rPr>
          <w:sz w:val="22"/>
          <w:szCs w:val="22"/>
        </w:rPr>
        <w:t>4</w:t>
      </w:r>
      <w:proofErr w:type="gramEnd"/>
      <w:r w:rsidRPr="002C2852">
        <w:rPr>
          <w:sz w:val="22"/>
          <w:szCs w:val="22"/>
        </w:rPr>
        <w:t xml:space="preserve"> e 5 - Banheiros Químicos) e 14 do Termo de Referência – qualificação técnica. Assim, foi elaborada Errata ao Termo.</w:t>
      </w:r>
    </w:p>
    <w:p w:rsidR="002C2852" w:rsidRDefault="002C2852" w:rsidP="002C2852">
      <w:pPr>
        <w:spacing w:line="300" w:lineRule="auto"/>
        <w:rPr>
          <w:b/>
          <w:bCs/>
          <w:sz w:val="22"/>
          <w:szCs w:val="22"/>
        </w:rPr>
      </w:pPr>
    </w:p>
    <w:p w:rsidR="001129F9" w:rsidRDefault="001129F9" w:rsidP="00611CB0">
      <w:pPr>
        <w:rPr>
          <w:b/>
          <w:bCs/>
          <w:sz w:val="22"/>
          <w:szCs w:val="22"/>
        </w:rPr>
      </w:pPr>
    </w:p>
    <w:p w:rsidR="00611CB0" w:rsidRDefault="00611CB0" w:rsidP="00611CB0">
      <w:pPr>
        <w:rPr>
          <w:bCs/>
          <w:sz w:val="22"/>
          <w:szCs w:val="22"/>
        </w:rPr>
      </w:pPr>
      <w:r>
        <w:rPr>
          <w:b/>
          <w:bCs/>
          <w:sz w:val="22"/>
          <w:szCs w:val="22"/>
        </w:rPr>
        <w:t xml:space="preserve">PEDIDO DE ESCLARECIMENTO </w:t>
      </w:r>
      <w:r>
        <w:rPr>
          <w:bCs/>
          <w:sz w:val="22"/>
          <w:szCs w:val="22"/>
        </w:rPr>
        <w:t>– via e-m</w:t>
      </w:r>
      <w:r w:rsidR="00B66D54">
        <w:rPr>
          <w:bCs/>
          <w:sz w:val="22"/>
          <w:szCs w:val="22"/>
        </w:rPr>
        <w:t>ail datado de 01/09/2016</w:t>
      </w:r>
      <w:r w:rsidR="002C2852">
        <w:rPr>
          <w:bCs/>
          <w:sz w:val="22"/>
          <w:szCs w:val="22"/>
        </w:rPr>
        <w:t>, recebido na mesma data</w:t>
      </w:r>
      <w:r w:rsidR="009B0CD4">
        <w:rPr>
          <w:bCs/>
          <w:sz w:val="22"/>
          <w:szCs w:val="22"/>
        </w:rPr>
        <w:t xml:space="preserve"> (quando o certame estava suspenso)</w:t>
      </w:r>
      <w:r w:rsidR="00B66D54">
        <w:rPr>
          <w:bCs/>
          <w:sz w:val="22"/>
          <w:szCs w:val="22"/>
        </w:rPr>
        <w:t>, fls.</w:t>
      </w:r>
      <w:r w:rsidR="009B0CD4">
        <w:rPr>
          <w:bCs/>
          <w:sz w:val="22"/>
          <w:szCs w:val="22"/>
        </w:rPr>
        <w:t xml:space="preserve"> 239 autos.</w:t>
      </w:r>
    </w:p>
    <w:p w:rsidR="002C2852" w:rsidRPr="002C2852" w:rsidRDefault="002C2852" w:rsidP="002C2852">
      <w:pPr>
        <w:pStyle w:val="PargrafodaLista"/>
        <w:spacing w:line="300" w:lineRule="auto"/>
        <w:ind w:left="2835"/>
        <w:jc w:val="both"/>
        <w:rPr>
          <w:b/>
          <w:i/>
          <w:sz w:val="20"/>
          <w:szCs w:val="20"/>
        </w:rPr>
      </w:pPr>
      <w:proofErr w:type="gramStart"/>
      <w:r w:rsidRPr="002C2852">
        <w:rPr>
          <w:i/>
          <w:sz w:val="20"/>
          <w:szCs w:val="20"/>
        </w:rPr>
        <w:t>“...</w:t>
      </w:r>
      <w:proofErr w:type="gramEnd"/>
      <w:r w:rsidRPr="002C2852">
        <w:rPr>
          <w:i/>
          <w:sz w:val="20"/>
          <w:szCs w:val="20"/>
        </w:rPr>
        <w:t>gostaria de esclarecimento sobre o engenheiro elétrico. No caso de a empresa ter de apresentar engenheiro elétrico para a montagem de som e luz, o profissional técnico em eletrotécnica  de responde pela mesma função, poderá ser aceito, visto que a negativa deste restringiria a licitação...”</w:t>
      </w:r>
    </w:p>
    <w:p w:rsidR="00613DDA" w:rsidRDefault="00613DDA" w:rsidP="009B0CD4">
      <w:pPr>
        <w:pStyle w:val="PargrafodaLista"/>
        <w:tabs>
          <w:tab w:val="left" w:pos="284"/>
        </w:tabs>
        <w:spacing w:line="300" w:lineRule="auto"/>
        <w:ind w:left="0"/>
        <w:jc w:val="both"/>
        <w:rPr>
          <w:b/>
          <w:sz w:val="22"/>
          <w:szCs w:val="22"/>
        </w:rPr>
      </w:pPr>
    </w:p>
    <w:p w:rsidR="00613DDA" w:rsidRPr="00613DDA" w:rsidRDefault="00613DDA" w:rsidP="00613DDA">
      <w:pPr>
        <w:autoSpaceDE w:val="0"/>
        <w:autoSpaceDN w:val="0"/>
        <w:adjustRightInd w:val="0"/>
        <w:spacing w:line="300" w:lineRule="auto"/>
        <w:rPr>
          <w:sz w:val="22"/>
          <w:szCs w:val="22"/>
        </w:rPr>
      </w:pPr>
      <w:r w:rsidRPr="00613DDA">
        <w:rPr>
          <w:b/>
          <w:sz w:val="22"/>
          <w:szCs w:val="22"/>
        </w:rPr>
        <w:t xml:space="preserve">Resposta: </w:t>
      </w:r>
      <w:r w:rsidRPr="00613DDA">
        <w:rPr>
          <w:sz w:val="22"/>
          <w:szCs w:val="22"/>
        </w:rPr>
        <w:t>Esclarecemos que em análise sobre o tema verificamos a necessidade de adequação do item 14 do Termo de Referência – qualificação técnica. Assim, foi elaborada Errata ao Termo.</w:t>
      </w:r>
    </w:p>
    <w:p w:rsidR="00613DDA" w:rsidRDefault="00613DDA" w:rsidP="009B0CD4">
      <w:pPr>
        <w:pStyle w:val="PargrafodaLista"/>
        <w:tabs>
          <w:tab w:val="left" w:pos="284"/>
        </w:tabs>
        <w:spacing w:line="300" w:lineRule="auto"/>
        <w:ind w:left="0"/>
        <w:jc w:val="both"/>
        <w:rPr>
          <w:b/>
          <w:sz w:val="22"/>
          <w:szCs w:val="22"/>
        </w:rPr>
      </w:pPr>
    </w:p>
    <w:p w:rsidR="009B0CD4" w:rsidRPr="006C33BC" w:rsidRDefault="009B0CD4" w:rsidP="009B0CD4">
      <w:pPr>
        <w:pStyle w:val="PargrafodaLista"/>
        <w:tabs>
          <w:tab w:val="left" w:pos="284"/>
        </w:tabs>
        <w:spacing w:line="300" w:lineRule="auto"/>
        <w:ind w:left="0"/>
        <w:jc w:val="both"/>
        <w:rPr>
          <w:b/>
          <w:sz w:val="22"/>
          <w:szCs w:val="22"/>
        </w:rPr>
      </w:pPr>
      <w:r w:rsidRPr="006C33BC">
        <w:rPr>
          <w:b/>
          <w:sz w:val="22"/>
          <w:szCs w:val="22"/>
        </w:rPr>
        <w:t>PEDIDO DE ESCLARECIMENTO (solicitação via ofício recebida como pedido de esclarecimento) – SINDICATOS DOS ENGENHEIROS – SINGE/RO – Of.</w:t>
      </w:r>
      <w:r w:rsidR="006C33BC">
        <w:rPr>
          <w:b/>
          <w:sz w:val="22"/>
          <w:szCs w:val="22"/>
        </w:rPr>
        <w:t xml:space="preserve"> </w:t>
      </w:r>
      <w:r w:rsidRPr="006C33BC">
        <w:rPr>
          <w:b/>
          <w:sz w:val="22"/>
          <w:szCs w:val="22"/>
        </w:rPr>
        <w:t>nº 177/SENGE-RO/2016, de 30/08/2016</w:t>
      </w:r>
      <w:r w:rsidR="006C33BC">
        <w:rPr>
          <w:b/>
          <w:sz w:val="22"/>
          <w:szCs w:val="22"/>
        </w:rPr>
        <w:t xml:space="preserve"> – recebido na Equipe dia 01/09/2016 quando o Pregão se encontrava suspenso</w:t>
      </w:r>
      <w:r w:rsidRPr="006C33BC">
        <w:rPr>
          <w:b/>
          <w:sz w:val="22"/>
          <w:szCs w:val="22"/>
        </w:rPr>
        <w:t>.</w:t>
      </w:r>
    </w:p>
    <w:p w:rsidR="009B0CD4" w:rsidRPr="006C33BC" w:rsidRDefault="009B0CD4" w:rsidP="009B0CD4">
      <w:pPr>
        <w:spacing w:line="300" w:lineRule="auto"/>
        <w:ind w:firstLine="1134"/>
        <w:rPr>
          <w:sz w:val="22"/>
          <w:szCs w:val="22"/>
        </w:rPr>
      </w:pPr>
    </w:p>
    <w:p w:rsidR="009B0CD4" w:rsidRPr="006C33BC" w:rsidRDefault="009B0CD4" w:rsidP="002C2852">
      <w:pPr>
        <w:spacing w:line="300" w:lineRule="auto"/>
        <w:ind w:firstLine="1134"/>
        <w:rPr>
          <w:sz w:val="22"/>
          <w:szCs w:val="22"/>
        </w:rPr>
      </w:pPr>
      <w:proofErr w:type="gramStart"/>
      <w:r w:rsidRPr="006C33BC">
        <w:rPr>
          <w:sz w:val="22"/>
          <w:szCs w:val="22"/>
        </w:rPr>
        <w:t>“Em Ofício nº 177/SENGE-RO/2016, de 30/08/2016, quanto ao item 14 “a.4” do Termo de Referência – qualificação técnica - solicita a inclusão nesse item dos engenheiros mecânicos, informando que eles também possuem atribuições para executar tais serviços.</w:t>
      </w:r>
      <w:proofErr w:type="gramEnd"/>
    </w:p>
    <w:p w:rsidR="009B0CD4" w:rsidRPr="006C33BC" w:rsidRDefault="009B0CD4" w:rsidP="002C2852">
      <w:pPr>
        <w:tabs>
          <w:tab w:val="left" w:pos="284"/>
        </w:tabs>
        <w:spacing w:line="300" w:lineRule="auto"/>
        <w:rPr>
          <w:sz w:val="22"/>
          <w:szCs w:val="22"/>
        </w:rPr>
      </w:pPr>
    </w:p>
    <w:p w:rsidR="001129F9" w:rsidRPr="006C33BC" w:rsidRDefault="009B0CD4" w:rsidP="002C2852">
      <w:pPr>
        <w:spacing w:line="300" w:lineRule="auto"/>
        <w:rPr>
          <w:b/>
          <w:bCs/>
          <w:sz w:val="22"/>
          <w:szCs w:val="22"/>
        </w:rPr>
      </w:pPr>
      <w:r w:rsidRPr="006C33BC">
        <w:rPr>
          <w:b/>
          <w:sz w:val="22"/>
          <w:szCs w:val="22"/>
        </w:rPr>
        <w:t xml:space="preserve">Resposta: </w:t>
      </w:r>
      <w:r w:rsidRPr="006C33BC">
        <w:rPr>
          <w:sz w:val="22"/>
          <w:szCs w:val="22"/>
        </w:rPr>
        <w:t xml:space="preserve">Esclarecemos que em análise sobre o tema verificamos a necessidade de adequação do item 14 do Termo de Referência – qualificação técnica. </w:t>
      </w:r>
      <w:proofErr w:type="gramStart"/>
      <w:r w:rsidRPr="006C33BC">
        <w:rPr>
          <w:sz w:val="22"/>
          <w:szCs w:val="22"/>
        </w:rPr>
        <w:t>Assim, foi elaborada Errata ao Termo.”</w:t>
      </w:r>
      <w:proofErr w:type="gramEnd"/>
    </w:p>
    <w:p w:rsidR="00C815ED" w:rsidRPr="009B0CD4" w:rsidRDefault="00C815ED" w:rsidP="002C2852">
      <w:pPr>
        <w:pStyle w:val="PargrafodaLista"/>
        <w:spacing w:line="300" w:lineRule="auto"/>
        <w:ind w:left="0"/>
        <w:jc w:val="both"/>
        <w:rPr>
          <w:sz w:val="22"/>
          <w:szCs w:val="22"/>
        </w:rPr>
      </w:pPr>
    </w:p>
    <w:p w:rsidR="00B92555" w:rsidRDefault="006D6A57" w:rsidP="002C2852">
      <w:pPr>
        <w:autoSpaceDE w:val="0"/>
        <w:autoSpaceDN w:val="0"/>
        <w:adjustRightInd w:val="0"/>
        <w:spacing w:line="300" w:lineRule="auto"/>
        <w:ind w:firstLine="709"/>
        <w:rPr>
          <w:sz w:val="22"/>
          <w:szCs w:val="22"/>
        </w:rPr>
      </w:pPr>
      <w:r>
        <w:rPr>
          <w:sz w:val="22"/>
          <w:szCs w:val="22"/>
        </w:rPr>
        <w:t>A SE</w:t>
      </w:r>
      <w:r w:rsidR="007044DC">
        <w:rPr>
          <w:sz w:val="22"/>
          <w:szCs w:val="22"/>
        </w:rPr>
        <w:t>JUCEL</w:t>
      </w:r>
      <w:r>
        <w:rPr>
          <w:sz w:val="22"/>
          <w:szCs w:val="22"/>
        </w:rPr>
        <w:t xml:space="preserve">, Órgão Requisitante, </w:t>
      </w:r>
      <w:r w:rsidR="00611CB0">
        <w:rPr>
          <w:sz w:val="22"/>
          <w:szCs w:val="22"/>
        </w:rPr>
        <w:t>considerando</w:t>
      </w:r>
      <w:r w:rsidR="00DC3CCB">
        <w:rPr>
          <w:sz w:val="22"/>
          <w:szCs w:val="22"/>
        </w:rPr>
        <w:t xml:space="preserve"> </w:t>
      </w:r>
      <w:r w:rsidR="001129F9">
        <w:rPr>
          <w:sz w:val="22"/>
          <w:szCs w:val="22"/>
        </w:rPr>
        <w:t xml:space="preserve">assistir razão </w:t>
      </w:r>
      <w:r w:rsidR="00611CB0">
        <w:rPr>
          <w:sz w:val="22"/>
          <w:szCs w:val="22"/>
        </w:rPr>
        <w:t xml:space="preserve">às impugnações </w:t>
      </w:r>
      <w:r w:rsidR="001129F9">
        <w:rPr>
          <w:sz w:val="22"/>
          <w:szCs w:val="22"/>
        </w:rPr>
        <w:t xml:space="preserve">e pedidos de esclarecimentos </w:t>
      </w:r>
      <w:r w:rsidR="00611CB0">
        <w:rPr>
          <w:sz w:val="22"/>
          <w:szCs w:val="22"/>
        </w:rPr>
        <w:t>apresentad</w:t>
      </w:r>
      <w:r w:rsidR="001129F9">
        <w:rPr>
          <w:sz w:val="22"/>
          <w:szCs w:val="22"/>
        </w:rPr>
        <w:t>o</w:t>
      </w:r>
      <w:r w:rsidR="00611CB0">
        <w:rPr>
          <w:sz w:val="22"/>
          <w:szCs w:val="22"/>
        </w:rPr>
        <w:t xml:space="preserve">s, </w:t>
      </w:r>
      <w:r w:rsidR="00DC3CCB">
        <w:rPr>
          <w:sz w:val="22"/>
          <w:szCs w:val="22"/>
        </w:rPr>
        <w:t>e</w:t>
      </w:r>
      <w:r w:rsidR="00B92555">
        <w:rPr>
          <w:sz w:val="22"/>
          <w:szCs w:val="22"/>
        </w:rPr>
        <w:t>m alteração ao Termo de Referência env</w:t>
      </w:r>
      <w:r w:rsidR="00DC00B1">
        <w:rPr>
          <w:sz w:val="22"/>
          <w:szCs w:val="22"/>
        </w:rPr>
        <w:t xml:space="preserve">iou a esta Equipe de Licitações </w:t>
      </w:r>
      <w:r w:rsidR="00611CB0">
        <w:rPr>
          <w:sz w:val="22"/>
          <w:szCs w:val="22"/>
        </w:rPr>
        <w:t>Errara ao Termo de Referência</w:t>
      </w:r>
      <w:r w:rsidR="00DC00B1">
        <w:rPr>
          <w:sz w:val="22"/>
          <w:szCs w:val="22"/>
        </w:rPr>
        <w:t xml:space="preserve">, </w:t>
      </w:r>
      <w:r w:rsidR="001129F9">
        <w:rPr>
          <w:sz w:val="22"/>
          <w:szCs w:val="22"/>
        </w:rPr>
        <w:t>constante nos</w:t>
      </w:r>
      <w:r w:rsidR="00DC00B1">
        <w:rPr>
          <w:sz w:val="22"/>
          <w:szCs w:val="22"/>
        </w:rPr>
        <w:t xml:space="preserve"> autos</w:t>
      </w:r>
      <w:r w:rsidR="00B903C4">
        <w:rPr>
          <w:sz w:val="22"/>
          <w:szCs w:val="22"/>
        </w:rPr>
        <w:t xml:space="preserve">, alterando </w:t>
      </w:r>
      <w:r w:rsidR="00611CB0">
        <w:rPr>
          <w:sz w:val="22"/>
          <w:szCs w:val="22"/>
        </w:rPr>
        <w:t>o item 4.2 (referente aos documentos para assinatura do contrato quanto aos banheiros químicos) e o item 14 (referente à qualificação técnica)</w:t>
      </w:r>
      <w:r w:rsidR="00DC00B1">
        <w:rPr>
          <w:sz w:val="22"/>
          <w:szCs w:val="22"/>
        </w:rPr>
        <w:t>.</w:t>
      </w:r>
    </w:p>
    <w:p w:rsidR="004948EA" w:rsidRPr="001A0014" w:rsidRDefault="004948EA" w:rsidP="002C2852">
      <w:pPr>
        <w:autoSpaceDE w:val="0"/>
        <w:autoSpaceDN w:val="0"/>
        <w:adjustRightInd w:val="0"/>
        <w:spacing w:line="300" w:lineRule="auto"/>
        <w:rPr>
          <w:i/>
          <w:snapToGrid w:val="0"/>
          <w:sz w:val="22"/>
          <w:szCs w:val="22"/>
        </w:rPr>
      </w:pPr>
    </w:p>
    <w:p w:rsidR="001C2CEB" w:rsidRDefault="00B92555" w:rsidP="002C2852">
      <w:pPr>
        <w:autoSpaceDE w:val="0"/>
        <w:autoSpaceDN w:val="0"/>
        <w:adjustRightInd w:val="0"/>
        <w:spacing w:line="300" w:lineRule="auto"/>
        <w:ind w:firstLine="709"/>
        <w:rPr>
          <w:sz w:val="22"/>
          <w:szCs w:val="22"/>
        </w:rPr>
      </w:pPr>
      <w:r>
        <w:rPr>
          <w:b/>
          <w:sz w:val="22"/>
          <w:szCs w:val="22"/>
        </w:rPr>
        <w:t>Considerando as alterações</w:t>
      </w:r>
      <w:r w:rsidR="00611CB0">
        <w:rPr>
          <w:b/>
          <w:sz w:val="22"/>
          <w:szCs w:val="22"/>
        </w:rPr>
        <w:t xml:space="preserve"> informadas pela SEJUCEL</w:t>
      </w:r>
      <w:r>
        <w:rPr>
          <w:b/>
          <w:sz w:val="22"/>
          <w:szCs w:val="22"/>
        </w:rPr>
        <w:t xml:space="preserve"> </w:t>
      </w:r>
      <w:r w:rsidRPr="00B92555">
        <w:rPr>
          <w:sz w:val="22"/>
          <w:szCs w:val="22"/>
        </w:rPr>
        <w:t xml:space="preserve">esta Equipe elaborou o </w:t>
      </w:r>
      <w:r w:rsidR="001C2CEB" w:rsidRPr="003C32F9">
        <w:rPr>
          <w:b/>
          <w:sz w:val="22"/>
          <w:szCs w:val="22"/>
        </w:rPr>
        <w:t>ADENDO MODIFICADOR I</w:t>
      </w:r>
      <w:r w:rsidR="00DC00B1">
        <w:rPr>
          <w:b/>
          <w:sz w:val="22"/>
          <w:szCs w:val="22"/>
        </w:rPr>
        <w:t xml:space="preserve"> ao Edital</w:t>
      </w:r>
      <w:r w:rsidR="001C2CEB" w:rsidRPr="003C32F9">
        <w:rPr>
          <w:b/>
          <w:sz w:val="22"/>
          <w:szCs w:val="22"/>
        </w:rPr>
        <w:t xml:space="preserve">, </w:t>
      </w:r>
      <w:r w:rsidRPr="00B92555">
        <w:rPr>
          <w:sz w:val="22"/>
          <w:szCs w:val="22"/>
        </w:rPr>
        <w:t>com as alterações necessárias</w:t>
      </w:r>
      <w:r w:rsidR="00FA74D9">
        <w:rPr>
          <w:sz w:val="22"/>
          <w:szCs w:val="22"/>
        </w:rPr>
        <w:t>,</w:t>
      </w:r>
      <w:r w:rsidRPr="00B92555">
        <w:rPr>
          <w:sz w:val="22"/>
          <w:szCs w:val="22"/>
        </w:rPr>
        <w:t xml:space="preserve"> inclusive a </w:t>
      </w:r>
      <w:r w:rsidR="00BB534E" w:rsidRPr="00B92555">
        <w:rPr>
          <w:sz w:val="22"/>
          <w:szCs w:val="22"/>
        </w:rPr>
        <w:t xml:space="preserve">nova data de abertura da sessão, </w:t>
      </w:r>
      <w:r w:rsidRPr="00B92555">
        <w:rPr>
          <w:sz w:val="22"/>
          <w:szCs w:val="22"/>
        </w:rPr>
        <w:t>o qual</w:t>
      </w:r>
      <w:r w:rsidR="001C2CEB" w:rsidRPr="00B92555">
        <w:rPr>
          <w:sz w:val="22"/>
          <w:szCs w:val="22"/>
        </w:rPr>
        <w:t xml:space="preserve"> está </w:t>
      </w:r>
      <w:r w:rsidRPr="00B92555">
        <w:rPr>
          <w:sz w:val="22"/>
          <w:szCs w:val="22"/>
        </w:rPr>
        <w:t xml:space="preserve">sendo </w:t>
      </w:r>
      <w:r w:rsidR="001C2CEB" w:rsidRPr="00B92555">
        <w:rPr>
          <w:sz w:val="22"/>
          <w:szCs w:val="22"/>
        </w:rPr>
        <w:t xml:space="preserve">publicado no </w:t>
      </w:r>
      <w:proofErr w:type="spellStart"/>
      <w:r w:rsidR="001C2CEB" w:rsidRPr="00B92555">
        <w:rPr>
          <w:sz w:val="22"/>
          <w:szCs w:val="22"/>
        </w:rPr>
        <w:t>Com</w:t>
      </w:r>
      <w:r w:rsidR="000C1324" w:rsidRPr="00B92555">
        <w:rPr>
          <w:sz w:val="22"/>
          <w:szCs w:val="22"/>
        </w:rPr>
        <w:t>prasnet</w:t>
      </w:r>
      <w:proofErr w:type="spellEnd"/>
      <w:r w:rsidR="000C1324" w:rsidRPr="00B92555">
        <w:rPr>
          <w:sz w:val="22"/>
          <w:szCs w:val="22"/>
        </w:rPr>
        <w:t xml:space="preserve"> e </w:t>
      </w:r>
      <w:r w:rsidR="000C1324" w:rsidRPr="00B92555">
        <w:rPr>
          <w:i/>
          <w:sz w:val="22"/>
          <w:szCs w:val="22"/>
        </w:rPr>
        <w:t>site</w:t>
      </w:r>
      <w:r w:rsidR="000C1324" w:rsidRPr="00B92555">
        <w:rPr>
          <w:sz w:val="22"/>
          <w:szCs w:val="22"/>
        </w:rPr>
        <w:t xml:space="preserve"> desta Superintendência</w:t>
      </w:r>
      <w:r>
        <w:rPr>
          <w:sz w:val="22"/>
          <w:szCs w:val="22"/>
        </w:rPr>
        <w:t xml:space="preserve">, bem como o </w:t>
      </w:r>
      <w:r w:rsidRPr="00B92555">
        <w:rPr>
          <w:b/>
          <w:sz w:val="22"/>
          <w:szCs w:val="22"/>
        </w:rPr>
        <w:t xml:space="preserve">AVISO DE ADENDO MODIFICADOR </w:t>
      </w:r>
      <w:r w:rsidR="00FA74D9">
        <w:rPr>
          <w:b/>
          <w:sz w:val="22"/>
          <w:szCs w:val="22"/>
        </w:rPr>
        <w:t>I</w:t>
      </w:r>
      <w:r>
        <w:rPr>
          <w:sz w:val="22"/>
          <w:szCs w:val="22"/>
        </w:rPr>
        <w:t>, sendo p</w:t>
      </w:r>
      <w:r w:rsidR="00FA74D9">
        <w:rPr>
          <w:sz w:val="22"/>
          <w:szCs w:val="22"/>
        </w:rPr>
        <w:t xml:space="preserve">ublicado no </w:t>
      </w:r>
      <w:proofErr w:type="spellStart"/>
      <w:r w:rsidR="00FA74D9">
        <w:rPr>
          <w:sz w:val="22"/>
          <w:szCs w:val="22"/>
        </w:rPr>
        <w:t>Comprasnet</w:t>
      </w:r>
      <w:proofErr w:type="spellEnd"/>
      <w:r w:rsidR="00FA74D9">
        <w:rPr>
          <w:sz w:val="22"/>
          <w:szCs w:val="22"/>
        </w:rPr>
        <w:t xml:space="preserve"> e </w:t>
      </w:r>
      <w:proofErr w:type="spellStart"/>
      <w:r w:rsidR="00FA74D9">
        <w:rPr>
          <w:sz w:val="22"/>
          <w:szCs w:val="22"/>
        </w:rPr>
        <w:t>D.O.E</w:t>
      </w:r>
      <w:proofErr w:type="gramStart"/>
      <w:r w:rsidR="00FA74D9">
        <w:rPr>
          <w:sz w:val="22"/>
          <w:szCs w:val="22"/>
        </w:rPr>
        <w:t>.</w:t>
      </w:r>
      <w:proofErr w:type="spellEnd"/>
      <w:r>
        <w:rPr>
          <w:sz w:val="22"/>
          <w:szCs w:val="22"/>
        </w:rPr>
        <w:t>.</w:t>
      </w:r>
      <w:proofErr w:type="gramEnd"/>
    </w:p>
    <w:p w:rsidR="001C2CEB" w:rsidRDefault="001C2CEB" w:rsidP="002C2852">
      <w:pPr>
        <w:autoSpaceDE w:val="0"/>
        <w:autoSpaceDN w:val="0"/>
        <w:adjustRightInd w:val="0"/>
        <w:spacing w:line="300" w:lineRule="auto"/>
        <w:ind w:firstLine="709"/>
        <w:rPr>
          <w:sz w:val="22"/>
          <w:szCs w:val="22"/>
        </w:rPr>
      </w:pPr>
    </w:p>
    <w:p w:rsidR="00F36BBF" w:rsidRPr="00C45CBD" w:rsidRDefault="00692ECC" w:rsidP="002C2852">
      <w:pPr>
        <w:autoSpaceDE w:val="0"/>
        <w:autoSpaceDN w:val="0"/>
        <w:adjustRightInd w:val="0"/>
        <w:spacing w:line="300" w:lineRule="auto"/>
        <w:ind w:firstLine="709"/>
        <w:rPr>
          <w:b/>
          <w:i/>
          <w:sz w:val="22"/>
          <w:szCs w:val="22"/>
        </w:rPr>
      </w:pPr>
      <w:r w:rsidRPr="00C45CBD">
        <w:rPr>
          <w:sz w:val="22"/>
          <w:szCs w:val="22"/>
        </w:rPr>
        <w:t xml:space="preserve">Eventuais dúvidas poderão ser sanadas junto </w:t>
      </w:r>
      <w:r w:rsidR="00FA74D9">
        <w:rPr>
          <w:sz w:val="22"/>
          <w:szCs w:val="22"/>
        </w:rPr>
        <w:t>ao Pregoeiro Substituto e E</w:t>
      </w:r>
      <w:r w:rsidRPr="00C45CBD">
        <w:rPr>
          <w:sz w:val="22"/>
          <w:szCs w:val="22"/>
        </w:rPr>
        <w:t xml:space="preserve">quipe de apoio, através do telefone (69) 3216-5318, ou no endereço sito ao </w:t>
      </w:r>
      <w:r w:rsidR="00CA645E" w:rsidRPr="00C45CBD">
        <w:rPr>
          <w:sz w:val="22"/>
          <w:szCs w:val="22"/>
        </w:rPr>
        <w:t>Palácio Rio Madeira, Ed. Rio Pacaás Novos/Edif. Central</w:t>
      </w:r>
      <w:r w:rsidRPr="00C45CBD">
        <w:rPr>
          <w:sz w:val="22"/>
          <w:szCs w:val="22"/>
        </w:rPr>
        <w:t xml:space="preserve">, 1º Andar, Av. </w:t>
      </w:r>
      <w:proofErr w:type="spellStart"/>
      <w:r w:rsidRPr="00C45CBD">
        <w:rPr>
          <w:sz w:val="22"/>
          <w:szCs w:val="22"/>
        </w:rPr>
        <w:t>Farquar</w:t>
      </w:r>
      <w:proofErr w:type="spellEnd"/>
      <w:r w:rsidRPr="00C45CBD">
        <w:rPr>
          <w:sz w:val="22"/>
          <w:szCs w:val="22"/>
        </w:rPr>
        <w:t>, n° 2986, B. Pedrinhas, CEP 76.801-470, Porto Velho/RO</w:t>
      </w:r>
      <w:r w:rsidRPr="00C45CBD">
        <w:rPr>
          <w:bCs/>
          <w:sz w:val="22"/>
          <w:szCs w:val="22"/>
        </w:rPr>
        <w:t>.</w:t>
      </w:r>
    </w:p>
    <w:p w:rsidR="000C1324" w:rsidRDefault="000C1324" w:rsidP="00C45CBD">
      <w:pPr>
        <w:autoSpaceDE w:val="0"/>
        <w:autoSpaceDN w:val="0"/>
        <w:adjustRightInd w:val="0"/>
        <w:ind w:firstLine="709"/>
        <w:jc w:val="right"/>
      </w:pPr>
    </w:p>
    <w:p w:rsidR="00220C7F" w:rsidRPr="00220C7F" w:rsidRDefault="00220C7F" w:rsidP="00220C7F">
      <w:pPr>
        <w:autoSpaceDE w:val="0"/>
        <w:autoSpaceDN w:val="0"/>
        <w:adjustRightInd w:val="0"/>
        <w:ind w:firstLine="709"/>
        <w:rPr>
          <w:sz w:val="22"/>
          <w:szCs w:val="22"/>
        </w:rPr>
      </w:pPr>
      <w:r w:rsidRPr="00220C7F">
        <w:rPr>
          <w:sz w:val="22"/>
          <w:szCs w:val="22"/>
        </w:rPr>
        <w:t>Ciência aos interessados. Publique-se.</w:t>
      </w:r>
    </w:p>
    <w:p w:rsidR="00220C7F" w:rsidRDefault="00220C7F" w:rsidP="00FA74D9">
      <w:pPr>
        <w:autoSpaceDE w:val="0"/>
        <w:autoSpaceDN w:val="0"/>
        <w:adjustRightInd w:val="0"/>
        <w:ind w:firstLine="709"/>
        <w:rPr>
          <w:sz w:val="22"/>
          <w:szCs w:val="22"/>
        </w:rPr>
      </w:pPr>
    </w:p>
    <w:p w:rsidR="00692ECC" w:rsidRDefault="00692ECC" w:rsidP="00FA74D9">
      <w:pPr>
        <w:autoSpaceDE w:val="0"/>
        <w:autoSpaceDN w:val="0"/>
        <w:adjustRightInd w:val="0"/>
        <w:ind w:firstLine="709"/>
        <w:rPr>
          <w:sz w:val="22"/>
          <w:szCs w:val="22"/>
        </w:rPr>
      </w:pPr>
      <w:r w:rsidRPr="00C45CBD">
        <w:rPr>
          <w:sz w:val="22"/>
          <w:szCs w:val="22"/>
        </w:rPr>
        <w:t xml:space="preserve">Porto Velho, </w:t>
      </w:r>
      <w:r w:rsidR="00ED2723">
        <w:rPr>
          <w:sz w:val="22"/>
          <w:szCs w:val="22"/>
        </w:rPr>
        <w:t>12</w:t>
      </w:r>
      <w:r w:rsidRPr="00C45CBD">
        <w:rPr>
          <w:sz w:val="22"/>
          <w:szCs w:val="22"/>
        </w:rPr>
        <w:t xml:space="preserve"> de </w:t>
      </w:r>
      <w:r w:rsidR="00ED2723">
        <w:rPr>
          <w:sz w:val="22"/>
          <w:szCs w:val="22"/>
        </w:rPr>
        <w:t>Setembr</w:t>
      </w:r>
      <w:r w:rsidR="00C45CBD">
        <w:rPr>
          <w:sz w:val="22"/>
          <w:szCs w:val="22"/>
        </w:rPr>
        <w:t>o</w:t>
      </w:r>
      <w:r w:rsidRPr="00C45CBD">
        <w:rPr>
          <w:sz w:val="22"/>
          <w:szCs w:val="22"/>
        </w:rPr>
        <w:t xml:space="preserve"> de 2016.</w:t>
      </w:r>
    </w:p>
    <w:p w:rsidR="008C0961" w:rsidRDefault="008C0961" w:rsidP="00F36BBF">
      <w:pPr>
        <w:tabs>
          <w:tab w:val="left" w:pos="1843"/>
        </w:tabs>
        <w:jc w:val="center"/>
        <w:rPr>
          <w:b/>
          <w:sz w:val="22"/>
          <w:szCs w:val="22"/>
        </w:rPr>
      </w:pPr>
    </w:p>
    <w:p w:rsidR="00CC5D6A" w:rsidRDefault="00CC5D6A" w:rsidP="00F36BBF">
      <w:pPr>
        <w:tabs>
          <w:tab w:val="left" w:pos="1843"/>
        </w:tabs>
        <w:jc w:val="center"/>
        <w:rPr>
          <w:b/>
          <w:sz w:val="22"/>
          <w:szCs w:val="22"/>
        </w:rPr>
      </w:pPr>
    </w:p>
    <w:p w:rsidR="009068C5" w:rsidRDefault="009068C5" w:rsidP="008C0961">
      <w:pPr>
        <w:jc w:val="center"/>
        <w:rPr>
          <w:b/>
          <w:sz w:val="22"/>
          <w:szCs w:val="22"/>
        </w:rPr>
      </w:pPr>
    </w:p>
    <w:p w:rsidR="00374723" w:rsidRDefault="00374723" w:rsidP="008C0961">
      <w:pPr>
        <w:jc w:val="center"/>
        <w:rPr>
          <w:b/>
          <w:sz w:val="22"/>
          <w:szCs w:val="22"/>
        </w:rPr>
      </w:pPr>
    </w:p>
    <w:p w:rsidR="00F05105" w:rsidRDefault="00F05105" w:rsidP="008C0961">
      <w:pPr>
        <w:jc w:val="center"/>
        <w:rPr>
          <w:b/>
          <w:sz w:val="22"/>
          <w:szCs w:val="22"/>
        </w:rPr>
      </w:pPr>
    </w:p>
    <w:p w:rsidR="008C0961" w:rsidRPr="008C0961" w:rsidRDefault="0037446C" w:rsidP="008C0961">
      <w:pPr>
        <w:jc w:val="center"/>
        <w:rPr>
          <w:b/>
          <w:sz w:val="22"/>
          <w:szCs w:val="22"/>
        </w:rPr>
      </w:pPr>
      <w:r>
        <w:rPr>
          <w:b/>
          <w:sz w:val="22"/>
          <w:szCs w:val="22"/>
        </w:rPr>
        <w:t>JADER CHAPLIN BERNARDO DE OLIVEIRA</w:t>
      </w:r>
    </w:p>
    <w:p w:rsidR="008C0961" w:rsidRPr="008C0961" w:rsidRDefault="008C0961" w:rsidP="008C0961">
      <w:pPr>
        <w:jc w:val="center"/>
        <w:rPr>
          <w:sz w:val="22"/>
          <w:szCs w:val="22"/>
        </w:rPr>
      </w:pPr>
      <w:r w:rsidRPr="008C0961">
        <w:rPr>
          <w:sz w:val="22"/>
          <w:szCs w:val="22"/>
        </w:rPr>
        <w:t>Pregoeir</w:t>
      </w:r>
      <w:r w:rsidR="0037446C">
        <w:rPr>
          <w:sz w:val="22"/>
          <w:szCs w:val="22"/>
        </w:rPr>
        <w:t xml:space="preserve">o </w:t>
      </w:r>
      <w:proofErr w:type="spellStart"/>
      <w:r w:rsidR="0037446C">
        <w:rPr>
          <w:sz w:val="22"/>
          <w:szCs w:val="22"/>
        </w:rPr>
        <w:t>Subsituto</w:t>
      </w:r>
      <w:proofErr w:type="spellEnd"/>
      <w:r w:rsidRPr="008C0961">
        <w:rPr>
          <w:sz w:val="22"/>
          <w:szCs w:val="22"/>
        </w:rPr>
        <w:t xml:space="preserve"> - Equipe ÔMEGA/SUPEL</w:t>
      </w:r>
    </w:p>
    <w:p w:rsidR="008C0961" w:rsidRDefault="008C0961" w:rsidP="009068C5">
      <w:pPr>
        <w:tabs>
          <w:tab w:val="left" w:pos="1843"/>
        </w:tabs>
        <w:jc w:val="center"/>
        <w:rPr>
          <w:bCs/>
          <w:sz w:val="22"/>
          <w:szCs w:val="22"/>
        </w:rPr>
      </w:pPr>
      <w:r w:rsidRPr="008C0961">
        <w:rPr>
          <w:bCs/>
          <w:sz w:val="22"/>
          <w:szCs w:val="22"/>
        </w:rPr>
        <w:t>Matrícula 300130075</w:t>
      </w:r>
    </w:p>
    <w:p w:rsidR="005F72A5" w:rsidRPr="009068C5" w:rsidRDefault="005F72A5" w:rsidP="009068C5">
      <w:pPr>
        <w:tabs>
          <w:tab w:val="left" w:pos="1843"/>
        </w:tabs>
        <w:jc w:val="center"/>
        <w:rPr>
          <w:sz w:val="22"/>
          <w:szCs w:val="22"/>
        </w:rPr>
      </w:pPr>
    </w:p>
    <w:sectPr w:rsidR="005F72A5" w:rsidRPr="009068C5" w:rsidSect="003370A8">
      <w:headerReference w:type="default" r:id="rId8"/>
      <w:footerReference w:type="default" r:id="rId9"/>
      <w:pgSz w:w="11906" w:h="16838"/>
      <w:pgMar w:top="1418" w:right="1304" w:bottom="1276"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40" w:rsidRDefault="00373E40" w:rsidP="005F748A">
      <w:r>
        <w:separator/>
      </w:r>
    </w:p>
  </w:endnote>
  <w:endnote w:type="continuationSeparator" w:id="0">
    <w:p w:rsidR="00373E40" w:rsidRDefault="00373E40"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40" w:rsidRPr="00752D29" w:rsidRDefault="00373E40">
    <w:pPr>
      <w:pStyle w:val="Rodap"/>
      <w:rPr>
        <w:i/>
        <w:sz w:val="15"/>
        <w:szCs w:val="15"/>
      </w:rPr>
    </w:pPr>
    <w:proofErr w:type="spellStart"/>
    <w:r w:rsidRPr="00752D29">
      <w:rPr>
        <w:i/>
        <w:sz w:val="15"/>
        <w:szCs w:val="15"/>
      </w:rPr>
      <w:t>Rvf</w:t>
    </w:r>
    <w:proofErr w:type="spellEnd"/>
    <w:r w:rsidRPr="00752D29">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40" w:rsidRDefault="00373E40" w:rsidP="005F748A">
      <w:r>
        <w:separator/>
      </w:r>
    </w:p>
  </w:footnote>
  <w:footnote w:type="continuationSeparator" w:id="0">
    <w:p w:rsidR="00373E40" w:rsidRDefault="00373E4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40" w:rsidRDefault="00373E40"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373E40" w:rsidRPr="00B91943" w:rsidRDefault="00373E40" w:rsidP="00DF5DED">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373E40" w:rsidRDefault="00373E40"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373E40" w:rsidRPr="00504C26" w:rsidRDefault="00373E40" w:rsidP="00DF5DED">
    <w:pPr>
      <w:pStyle w:val="Cabealho"/>
      <w:jc w:val="center"/>
      <w:rPr>
        <w:sz w:val="16"/>
        <w:szCs w:val="16"/>
      </w:rPr>
    </w:pPr>
  </w:p>
  <w:p w:rsidR="00373E40" w:rsidRPr="0068390A" w:rsidRDefault="00373E40" w:rsidP="00DF5DED">
    <w:pPr>
      <w:pStyle w:val="Cabealho"/>
      <w:spacing w:before="100" w:after="100"/>
      <w:contextualSpacing/>
      <w:jc w:val="center"/>
      <w:rPr>
        <w:b/>
      </w:rPr>
    </w:pPr>
    <w:r w:rsidRPr="0068390A">
      <w:rPr>
        <w:b/>
      </w:rPr>
      <w:t>SUPERINTENDÊNCIA ESTADUAL DE LICITAÇÕES - SUPEL</w:t>
    </w:r>
  </w:p>
  <w:p w:rsidR="00373E40" w:rsidRPr="0068390A" w:rsidRDefault="00373E40" w:rsidP="00DF5DED">
    <w:pPr>
      <w:pStyle w:val="Cabealho"/>
      <w:spacing w:before="100" w:after="100"/>
      <w:contextualSpacing/>
      <w:jc w:val="center"/>
    </w:pPr>
    <w:r w:rsidRPr="0068390A">
      <w:t>Complexo Rio Madeira - Ed.</w:t>
    </w:r>
    <w:r>
      <w:t xml:space="preserve"> Rio Pacaás Novos – Central - 2</w:t>
    </w:r>
    <w:r w:rsidRPr="0068390A">
      <w:t xml:space="preserve">º </w:t>
    </w:r>
    <w:proofErr w:type="gramStart"/>
    <w:r w:rsidRPr="0068390A">
      <w:t>Andar</w:t>
    </w:r>
    <w:proofErr w:type="gramEnd"/>
  </w:p>
  <w:p w:rsidR="00373E40" w:rsidRPr="0068390A" w:rsidRDefault="00373E40" w:rsidP="00DF5DED">
    <w:pPr>
      <w:pStyle w:val="Cabealho"/>
      <w:spacing w:before="100" w:after="100"/>
      <w:contextualSpacing/>
      <w:jc w:val="center"/>
    </w:pPr>
    <w:r w:rsidRPr="0068390A">
      <w:t>Porto Velho, Rondônia.</w:t>
    </w:r>
  </w:p>
  <w:p w:rsidR="00373E40" w:rsidRPr="007F543B" w:rsidRDefault="00373E40" w:rsidP="00DF5DED">
    <w:pPr>
      <w:pStyle w:val="Cabealho"/>
      <w:spacing w:before="100" w:after="100"/>
      <w:contextualSpacing/>
      <w:jc w:val="center"/>
      <w:rPr>
        <w:sz w:val="18"/>
        <w:szCs w:val="18"/>
      </w:rPr>
    </w:pPr>
    <w:r w:rsidRPr="007F543B">
      <w:rPr>
        <w:sz w:val="18"/>
        <w:szCs w:val="18"/>
      </w:rPr>
      <w:t>Equipe de Licitações ÔMEGA - Tel. (69) 3216-5318</w:t>
    </w:r>
  </w:p>
  <w:p w:rsidR="00373E40" w:rsidRPr="00DF5DED" w:rsidRDefault="00373E40" w:rsidP="00DF5DED">
    <w:pPr>
      <w:pStyle w:val="Cabealho"/>
      <w:rPr>
        <w:sz w:val="14"/>
        <w:szCs w:val="14"/>
      </w:rPr>
    </w:pPr>
  </w:p>
  <w:p w:rsidR="00373E40" w:rsidRPr="00DF5DED" w:rsidRDefault="00373E40"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F638CA"/>
    <w:multiLevelType w:val="hybridMultilevel"/>
    <w:tmpl w:val="24CAD9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CA7885"/>
    <w:multiLevelType w:val="hybridMultilevel"/>
    <w:tmpl w:val="D0144B8C"/>
    <w:lvl w:ilvl="0" w:tplc="04160001">
      <w:start w:val="1"/>
      <w:numFmt w:val="bullet"/>
      <w:lvlText w:val=""/>
      <w:lvlJc w:val="left"/>
      <w:pPr>
        <w:ind w:left="3030" w:hanging="360"/>
      </w:pPr>
      <w:rPr>
        <w:rFonts w:ascii="Symbol" w:hAnsi="Symbol" w:hint="default"/>
      </w:rPr>
    </w:lvl>
    <w:lvl w:ilvl="1" w:tplc="04160003" w:tentative="1">
      <w:start w:val="1"/>
      <w:numFmt w:val="bullet"/>
      <w:lvlText w:val="o"/>
      <w:lvlJc w:val="left"/>
      <w:pPr>
        <w:ind w:left="3750" w:hanging="360"/>
      </w:pPr>
      <w:rPr>
        <w:rFonts w:ascii="Courier New" w:hAnsi="Courier New" w:cs="Courier New" w:hint="default"/>
      </w:rPr>
    </w:lvl>
    <w:lvl w:ilvl="2" w:tplc="04160005" w:tentative="1">
      <w:start w:val="1"/>
      <w:numFmt w:val="bullet"/>
      <w:lvlText w:val=""/>
      <w:lvlJc w:val="left"/>
      <w:pPr>
        <w:ind w:left="4470" w:hanging="360"/>
      </w:pPr>
      <w:rPr>
        <w:rFonts w:ascii="Wingdings" w:hAnsi="Wingdings" w:hint="default"/>
      </w:rPr>
    </w:lvl>
    <w:lvl w:ilvl="3" w:tplc="04160001" w:tentative="1">
      <w:start w:val="1"/>
      <w:numFmt w:val="bullet"/>
      <w:lvlText w:val=""/>
      <w:lvlJc w:val="left"/>
      <w:pPr>
        <w:ind w:left="5190" w:hanging="360"/>
      </w:pPr>
      <w:rPr>
        <w:rFonts w:ascii="Symbol" w:hAnsi="Symbol" w:hint="default"/>
      </w:rPr>
    </w:lvl>
    <w:lvl w:ilvl="4" w:tplc="04160003" w:tentative="1">
      <w:start w:val="1"/>
      <w:numFmt w:val="bullet"/>
      <w:lvlText w:val="o"/>
      <w:lvlJc w:val="left"/>
      <w:pPr>
        <w:ind w:left="5910" w:hanging="360"/>
      </w:pPr>
      <w:rPr>
        <w:rFonts w:ascii="Courier New" w:hAnsi="Courier New" w:cs="Courier New" w:hint="default"/>
      </w:rPr>
    </w:lvl>
    <w:lvl w:ilvl="5" w:tplc="04160005" w:tentative="1">
      <w:start w:val="1"/>
      <w:numFmt w:val="bullet"/>
      <w:lvlText w:val=""/>
      <w:lvlJc w:val="left"/>
      <w:pPr>
        <w:ind w:left="6630" w:hanging="360"/>
      </w:pPr>
      <w:rPr>
        <w:rFonts w:ascii="Wingdings" w:hAnsi="Wingdings" w:hint="default"/>
      </w:rPr>
    </w:lvl>
    <w:lvl w:ilvl="6" w:tplc="04160001" w:tentative="1">
      <w:start w:val="1"/>
      <w:numFmt w:val="bullet"/>
      <w:lvlText w:val=""/>
      <w:lvlJc w:val="left"/>
      <w:pPr>
        <w:ind w:left="7350" w:hanging="360"/>
      </w:pPr>
      <w:rPr>
        <w:rFonts w:ascii="Symbol" w:hAnsi="Symbol" w:hint="default"/>
      </w:rPr>
    </w:lvl>
    <w:lvl w:ilvl="7" w:tplc="04160003" w:tentative="1">
      <w:start w:val="1"/>
      <w:numFmt w:val="bullet"/>
      <w:lvlText w:val="o"/>
      <w:lvlJc w:val="left"/>
      <w:pPr>
        <w:ind w:left="8070" w:hanging="360"/>
      </w:pPr>
      <w:rPr>
        <w:rFonts w:ascii="Courier New" w:hAnsi="Courier New" w:cs="Courier New" w:hint="default"/>
      </w:rPr>
    </w:lvl>
    <w:lvl w:ilvl="8" w:tplc="04160005" w:tentative="1">
      <w:start w:val="1"/>
      <w:numFmt w:val="bullet"/>
      <w:lvlText w:val=""/>
      <w:lvlJc w:val="left"/>
      <w:pPr>
        <w:ind w:left="8790" w:hanging="360"/>
      </w:pPr>
      <w:rPr>
        <w:rFonts w:ascii="Wingdings" w:hAnsi="Wingdings" w:hint="default"/>
      </w:rPr>
    </w:lvl>
  </w:abstractNum>
  <w:abstractNum w:abstractNumId="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1F1E7A"/>
    <w:multiLevelType w:val="hybridMultilevel"/>
    <w:tmpl w:val="8ACC1D06"/>
    <w:lvl w:ilvl="0" w:tplc="DC0C3226">
      <w:start w:val="1"/>
      <w:numFmt w:val="lowerLetter"/>
      <w:lvlText w:val="%1)"/>
      <w:lvlJc w:val="left"/>
      <w:pPr>
        <w:ind w:left="720" w:hanging="36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
  </w:num>
  <w:num w:numId="7">
    <w:abstractNumId w:val="0"/>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2BEB"/>
    <w:rsid w:val="00004935"/>
    <w:rsid w:val="0000686C"/>
    <w:rsid w:val="0001727A"/>
    <w:rsid w:val="000621BB"/>
    <w:rsid w:val="00080F8B"/>
    <w:rsid w:val="00084F3A"/>
    <w:rsid w:val="00086023"/>
    <w:rsid w:val="000C1324"/>
    <w:rsid w:val="000D0C7C"/>
    <w:rsid w:val="000D436B"/>
    <w:rsid w:val="000E1E26"/>
    <w:rsid w:val="000E5002"/>
    <w:rsid w:val="001027D9"/>
    <w:rsid w:val="00104DDC"/>
    <w:rsid w:val="001129F9"/>
    <w:rsid w:val="001363BD"/>
    <w:rsid w:val="0017016F"/>
    <w:rsid w:val="001A0014"/>
    <w:rsid w:val="001A3DCB"/>
    <w:rsid w:val="001C2CEB"/>
    <w:rsid w:val="001D4A5D"/>
    <w:rsid w:val="00205A4B"/>
    <w:rsid w:val="0020671E"/>
    <w:rsid w:val="00220C7F"/>
    <w:rsid w:val="0022147E"/>
    <w:rsid w:val="00244EDE"/>
    <w:rsid w:val="00247C75"/>
    <w:rsid w:val="00253427"/>
    <w:rsid w:val="002668A0"/>
    <w:rsid w:val="00275DCE"/>
    <w:rsid w:val="002807A4"/>
    <w:rsid w:val="00292720"/>
    <w:rsid w:val="00297D5E"/>
    <w:rsid w:val="002A4EFE"/>
    <w:rsid w:val="002C0858"/>
    <w:rsid w:val="002C2852"/>
    <w:rsid w:val="002D7F2D"/>
    <w:rsid w:val="002F0182"/>
    <w:rsid w:val="002F1038"/>
    <w:rsid w:val="003308E2"/>
    <w:rsid w:val="00331464"/>
    <w:rsid w:val="003370A8"/>
    <w:rsid w:val="00357028"/>
    <w:rsid w:val="00373E40"/>
    <w:rsid w:val="0037446C"/>
    <w:rsid w:val="00374723"/>
    <w:rsid w:val="003C32F9"/>
    <w:rsid w:val="003D6CC8"/>
    <w:rsid w:val="003F236C"/>
    <w:rsid w:val="00403F46"/>
    <w:rsid w:val="00423C4F"/>
    <w:rsid w:val="00436FAF"/>
    <w:rsid w:val="004529E2"/>
    <w:rsid w:val="00490B04"/>
    <w:rsid w:val="004948EA"/>
    <w:rsid w:val="004B3AAE"/>
    <w:rsid w:val="004E36A3"/>
    <w:rsid w:val="004F4241"/>
    <w:rsid w:val="00511BA5"/>
    <w:rsid w:val="00516D7B"/>
    <w:rsid w:val="005364E0"/>
    <w:rsid w:val="00542789"/>
    <w:rsid w:val="00557A2F"/>
    <w:rsid w:val="00566574"/>
    <w:rsid w:val="00573458"/>
    <w:rsid w:val="005A4AF5"/>
    <w:rsid w:val="005D7F11"/>
    <w:rsid w:val="005F72A5"/>
    <w:rsid w:val="005F748A"/>
    <w:rsid w:val="00611CB0"/>
    <w:rsid w:val="00613DDA"/>
    <w:rsid w:val="006149B3"/>
    <w:rsid w:val="0061566B"/>
    <w:rsid w:val="00643A25"/>
    <w:rsid w:val="0065618A"/>
    <w:rsid w:val="00656E8E"/>
    <w:rsid w:val="00673960"/>
    <w:rsid w:val="006810B7"/>
    <w:rsid w:val="00692ECC"/>
    <w:rsid w:val="006A713A"/>
    <w:rsid w:val="006C33BC"/>
    <w:rsid w:val="006D6A57"/>
    <w:rsid w:val="006E4570"/>
    <w:rsid w:val="007044DC"/>
    <w:rsid w:val="007203BC"/>
    <w:rsid w:val="00752D29"/>
    <w:rsid w:val="0075482C"/>
    <w:rsid w:val="00764C9B"/>
    <w:rsid w:val="00782128"/>
    <w:rsid w:val="007868FD"/>
    <w:rsid w:val="00787405"/>
    <w:rsid w:val="007A205B"/>
    <w:rsid w:val="007A495E"/>
    <w:rsid w:val="007E1E9E"/>
    <w:rsid w:val="007E6810"/>
    <w:rsid w:val="007F2347"/>
    <w:rsid w:val="00822A2C"/>
    <w:rsid w:val="008238A0"/>
    <w:rsid w:val="008268A3"/>
    <w:rsid w:val="00865C6A"/>
    <w:rsid w:val="00891A19"/>
    <w:rsid w:val="008C0961"/>
    <w:rsid w:val="009068C5"/>
    <w:rsid w:val="0094177B"/>
    <w:rsid w:val="0094590D"/>
    <w:rsid w:val="0096013A"/>
    <w:rsid w:val="009828C0"/>
    <w:rsid w:val="00995EC7"/>
    <w:rsid w:val="009A71EA"/>
    <w:rsid w:val="009B0CD4"/>
    <w:rsid w:val="009B5FB9"/>
    <w:rsid w:val="009F01AE"/>
    <w:rsid w:val="009F2FED"/>
    <w:rsid w:val="00A16AA1"/>
    <w:rsid w:val="00A21A58"/>
    <w:rsid w:val="00AB4B25"/>
    <w:rsid w:val="00AC766F"/>
    <w:rsid w:val="00AF70C6"/>
    <w:rsid w:val="00B66D54"/>
    <w:rsid w:val="00B760EA"/>
    <w:rsid w:val="00B80A2C"/>
    <w:rsid w:val="00B84DE5"/>
    <w:rsid w:val="00B903C4"/>
    <w:rsid w:val="00B92555"/>
    <w:rsid w:val="00BA00F9"/>
    <w:rsid w:val="00BA6F42"/>
    <w:rsid w:val="00BB534E"/>
    <w:rsid w:val="00BE3F07"/>
    <w:rsid w:val="00BF6733"/>
    <w:rsid w:val="00C02E78"/>
    <w:rsid w:val="00C03C4C"/>
    <w:rsid w:val="00C171E8"/>
    <w:rsid w:val="00C45CBD"/>
    <w:rsid w:val="00C47EEF"/>
    <w:rsid w:val="00C72670"/>
    <w:rsid w:val="00C7371D"/>
    <w:rsid w:val="00C815ED"/>
    <w:rsid w:val="00C95FE4"/>
    <w:rsid w:val="00CA0AD0"/>
    <w:rsid w:val="00CA3BD1"/>
    <w:rsid w:val="00CA5E00"/>
    <w:rsid w:val="00CA645E"/>
    <w:rsid w:val="00CB555B"/>
    <w:rsid w:val="00CC5D6A"/>
    <w:rsid w:val="00D021DF"/>
    <w:rsid w:val="00D34F09"/>
    <w:rsid w:val="00D66E6E"/>
    <w:rsid w:val="00D75AC4"/>
    <w:rsid w:val="00DA2DC5"/>
    <w:rsid w:val="00DC00B1"/>
    <w:rsid w:val="00DC3CCB"/>
    <w:rsid w:val="00DC75E1"/>
    <w:rsid w:val="00DD5D05"/>
    <w:rsid w:val="00DF076E"/>
    <w:rsid w:val="00DF5DED"/>
    <w:rsid w:val="00E0593B"/>
    <w:rsid w:val="00E07C9C"/>
    <w:rsid w:val="00E32866"/>
    <w:rsid w:val="00E851AD"/>
    <w:rsid w:val="00EA5526"/>
    <w:rsid w:val="00EB64C4"/>
    <w:rsid w:val="00EC384C"/>
    <w:rsid w:val="00ED2723"/>
    <w:rsid w:val="00EE2538"/>
    <w:rsid w:val="00EE5748"/>
    <w:rsid w:val="00F05105"/>
    <w:rsid w:val="00F36BBF"/>
    <w:rsid w:val="00F45365"/>
    <w:rsid w:val="00F86A80"/>
    <w:rsid w:val="00FA74D9"/>
    <w:rsid w:val="00FB2760"/>
    <w:rsid w:val="00FC5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 w:type="character" w:customStyle="1" w:styleId="PargrafodaListaChar">
    <w:name w:val="Parágrafo da Lista Char"/>
    <w:link w:val="PargrafodaLista"/>
    <w:locked/>
    <w:rsid w:val="00AB4B25"/>
    <w:rPr>
      <w:rFonts w:ascii="Times New Roman" w:eastAsia="Times New Roman" w:hAnsi="Times New Roman" w:cs="Times New Roman"/>
      <w:sz w:val="24"/>
      <w:szCs w:val="24"/>
      <w:lang w:eastAsia="pt-BR"/>
    </w:rPr>
  </w:style>
  <w:style w:type="paragraph" w:customStyle="1" w:styleId="Default">
    <w:name w:val="Default"/>
    <w:rsid w:val="001D4A5D"/>
    <w:pPr>
      <w:autoSpaceDE w:val="0"/>
      <w:autoSpaceDN w:val="0"/>
      <w:adjustRightInd w:val="0"/>
      <w:spacing w:after="0" w:line="240" w:lineRule="auto"/>
    </w:pPr>
    <w:rPr>
      <w:rFonts w:ascii="Verdana" w:hAnsi="Verdana" w:cs="Verdana"/>
      <w:color w:val="000000"/>
      <w:sz w:val="24"/>
      <w:szCs w:val="24"/>
    </w:rPr>
  </w:style>
  <w:style w:type="paragraph" w:styleId="Pr-formataoHTML">
    <w:name w:val="HTML Preformatted"/>
    <w:basedOn w:val="Normal"/>
    <w:link w:val="Pr-formataoHTMLChar"/>
    <w:uiPriority w:val="99"/>
    <w:semiHidden/>
    <w:unhideWhenUsed/>
    <w:rsid w:val="00EE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EE2538"/>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238A0"/>
  </w:style>
  <w:style w:type="character" w:customStyle="1" w:styleId="TextodenotaderodapChar">
    <w:name w:val="Texto de nota de rodapé Char"/>
    <w:basedOn w:val="Fontepargpadro"/>
    <w:link w:val="Textodenotaderodap"/>
    <w:uiPriority w:val="99"/>
    <w:semiHidden/>
    <w:rsid w:val="008238A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238A0"/>
    <w:rPr>
      <w:vertAlign w:val="superscript"/>
    </w:rPr>
  </w:style>
  <w:style w:type="paragraph" w:styleId="NormalWeb">
    <w:name w:val="Normal (Web)"/>
    <w:basedOn w:val="Normal"/>
    <w:uiPriority w:val="99"/>
    <w:semiHidden/>
    <w:unhideWhenUsed/>
    <w:rsid w:val="003370A8"/>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176723707">
      <w:bodyDiv w:val="1"/>
      <w:marLeft w:val="0"/>
      <w:marRight w:val="0"/>
      <w:marTop w:val="0"/>
      <w:marBottom w:val="0"/>
      <w:divBdr>
        <w:top w:val="none" w:sz="0" w:space="0" w:color="auto"/>
        <w:left w:val="none" w:sz="0" w:space="0" w:color="auto"/>
        <w:bottom w:val="none" w:sz="0" w:space="0" w:color="auto"/>
        <w:right w:val="none" w:sz="0" w:space="0" w:color="auto"/>
      </w:divBdr>
    </w:div>
    <w:div w:id="1191262760">
      <w:bodyDiv w:val="1"/>
      <w:marLeft w:val="0"/>
      <w:marRight w:val="0"/>
      <w:marTop w:val="0"/>
      <w:marBottom w:val="0"/>
      <w:divBdr>
        <w:top w:val="none" w:sz="0" w:space="0" w:color="auto"/>
        <w:left w:val="none" w:sz="0" w:space="0" w:color="auto"/>
        <w:bottom w:val="none" w:sz="0" w:space="0" w:color="auto"/>
        <w:right w:val="none" w:sz="0" w:space="0" w:color="auto"/>
      </w:divBdr>
      <w:divsChild>
        <w:div w:id="1036663090">
          <w:marLeft w:val="0"/>
          <w:marRight w:val="0"/>
          <w:marTop w:val="0"/>
          <w:marBottom w:val="0"/>
          <w:divBdr>
            <w:top w:val="none" w:sz="0" w:space="0" w:color="auto"/>
            <w:left w:val="none" w:sz="0" w:space="0" w:color="auto"/>
            <w:bottom w:val="none" w:sz="0" w:space="0" w:color="auto"/>
            <w:right w:val="none" w:sz="0" w:space="0" w:color="auto"/>
          </w:divBdr>
          <w:divsChild>
            <w:div w:id="391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A1236-21E3-4998-A552-6208F053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2217</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20</cp:revision>
  <dcterms:created xsi:type="dcterms:W3CDTF">2016-09-12T16:55:00Z</dcterms:created>
  <dcterms:modified xsi:type="dcterms:W3CDTF">2016-09-13T17:24:00Z</dcterms:modified>
</cp:coreProperties>
</file>