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BD8" w:rsidRPr="0003780E" w:rsidRDefault="00DA1735" w:rsidP="00194BD8">
      <w:pPr>
        <w:ind w:right="-1"/>
        <w:jc w:val="center"/>
        <w:rPr>
          <w:b/>
          <w:sz w:val="22"/>
          <w:szCs w:val="22"/>
        </w:rPr>
      </w:pPr>
      <w:r>
        <w:rPr>
          <w:b/>
          <w:sz w:val="22"/>
          <w:szCs w:val="22"/>
        </w:rPr>
        <w:t>RESPOSTA</w:t>
      </w:r>
      <w:r w:rsidR="005660B8">
        <w:rPr>
          <w:b/>
          <w:sz w:val="22"/>
          <w:szCs w:val="22"/>
        </w:rPr>
        <w:t>S</w:t>
      </w:r>
      <w:r>
        <w:rPr>
          <w:b/>
          <w:sz w:val="22"/>
          <w:szCs w:val="22"/>
        </w:rPr>
        <w:t xml:space="preserve"> DE ESCLARECIMENTO</w:t>
      </w:r>
      <w:r w:rsidR="005660B8">
        <w:rPr>
          <w:b/>
          <w:sz w:val="22"/>
          <w:szCs w:val="22"/>
        </w:rPr>
        <w:t>S</w:t>
      </w:r>
    </w:p>
    <w:p w:rsidR="00194BD8" w:rsidRPr="0003780E" w:rsidRDefault="00194BD8" w:rsidP="00194BD8">
      <w:pPr>
        <w:ind w:right="-1"/>
        <w:jc w:val="center"/>
        <w:rPr>
          <w:sz w:val="22"/>
          <w:szCs w:val="22"/>
        </w:rPr>
      </w:pPr>
    </w:p>
    <w:p w:rsidR="00194BD8" w:rsidRPr="0003780E" w:rsidRDefault="003A6B78" w:rsidP="004C084F">
      <w:pPr>
        <w:pStyle w:val="Ttulo2"/>
        <w:spacing w:before="0"/>
        <w:ind w:right="851"/>
        <w:jc w:val="left"/>
        <w:rPr>
          <w:rFonts w:ascii="Times New Roman" w:hAnsi="Times New Roman" w:cs="Times New Roman"/>
          <w:i w:val="0"/>
          <w:color w:val="auto"/>
          <w:sz w:val="22"/>
          <w:szCs w:val="22"/>
        </w:rPr>
      </w:pPr>
      <w:r>
        <w:rPr>
          <w:rFonts w:ascii="Times New Roman" w:hAnsi="Times New Roman" w:cs="Times New Roman"/>
          <w:i w:val="0"/>
          <w:color w:val="auto"/>
          <w:sz w:val="22"/>
          <w:szCs w:val="22"/>
        </w:rPr>
        <w:t>PREGÃO ELETRÔNICO Nº 0</w:t>
      </w:r>
      <w:r w:rsidR="005660B8">
        <w:rPr>
          <w:rFonts w:ascii="Times New Roman" w:hAnsi="Times New Roman" w:cs="Times New Roman"/>
          <w:i w:val="0"/>
          <w:color w:val="auto"/>
          <w:sz w:val="22"/>
          <w:szCs w:val="22"/>
        </w:rPr>
        <w:t>159</w:t>
      </w:r>
      <w:r w:rsidR="00EC34D3">
        <w:rPr>
          <w:rFonts w:ascii="Times New Roman" w:hAnsi="Times New Roman" w:cs="Times New Roman"/>
          <w:i w:val="0"/>
          <w:color w:val="auto"/>
          <w:sz w:val="22"/>
          <w:szCs w:val="22"/>
        </w:rPr>
        <w:t>/</w:t>
      </w:r>
      <w:r w:rsidR="00194BD8" w:rsidRPr="0003780E">
        <w:rPr>
          <w:rFonts w:ascii="Times New Roman" w:hAnsi="Times New Roman" w:cs="Times New Roman"/>
          <w:i w:val="0"/>
          <w:color w:val="auto"/>
          <w:sz w:val="22"/>
          <w:szCs w:val="22"/>
        </w:rPr>
        <w:t>201</w:t>
      </w:r>
      <w:r>
        <w:rPr>
          <w:rFonts w:ascii="Times New Roman" w:hAnsi="Times New Roman" w:cs="Times New Roman"/>
          <w:i w:val="0"/>
          <w:color w:val="auto"/>
          <w:sz w:val="22"/>
          <w:szCs w:val="22"/>
        </w:rPr>
        <w:t>4</w:t>
      </w:r>
      <w:r w:rsidR="00194BD8" w:rsidRPr="0003780E">
        <w:rPr>
          <w:rFonts w:ascii="Times New Roman" w:hAnsi="Times New Roman" w:cs="Times New Roman"/>
          <w:i w:val="0"/>
          <w:color w:val="auto"/>
          <w:sz w:val="22"/>
          <w:szCs w:val="22"/>
        </w:rPr>
        <w:t>/SUPEL/RO</w:t>
      </w:r>
    </w:p>
    <w:p w:rsidR="004C084F" w:rsidRDefault="00194BD8" w:rsidP="004C084F">
      <w:pPr>
        <w:tabs>
          <w:tab w:val="left" w:pos="-851"/>
          <w:tab w:val="left" w:pos="9638"/>
        </w:tabs>
        <w:spacing w:line="240" w:lineRule="auto"/>
        <w:ind w:right="-1"/>
        <w:jc w:val="both"/>
        <w:rPr>
          <w:b/>
          <w:color w:val="000000"/>
        </w:rPr>
      </w:pPr>
      <w:r w:rsidRPr="0003780E">
        <w:rPr>
          <w:b/>
          <w:bCs/>
          <w:sz w:val="22"/>
          <w:szCs w:val="22"/>
        </w:rPr>
        <w:t xml:space="preserve">PROCESSO ADMINISTRATIVO </w:t>
      </w:r>
      <w:r w:rsidRPr="0003780E">
        <w:rPr>
          <w:b/>
          <w:sz w:val="22"/>
          <w:szCs w:val="22"/>
        </w:rPr>
        <w:t>N.</w:t>
      </w:r>
      <w:r w:rsidRPr="004C084F">
        <w:rPr>
          <w:b/>
          <w:sz w:val="22"/>
          <w:szCs w:val="22"/>
        </w:rPr>
        <w:t xml:space="preserve">º </w:t>
      </w:r>
      <w:r w:rsidR="003A6B78">
        <w:rPr>
          <w:b/>
          <w:sz w:val="22"/>
          <w:szCs w:val="22"/>
        </w:rPr>
        <w:t>01.</w:t>
      </w:r>
      <w:r w:rsidR="005660B8">
        <w:rPr>
          <w:b/>
          <w:sz w:val="22"/>
          <w:szCs w:val="22"/>
        </w:rPr>
        <w:t>1734</w:t>
      </w:r>
      <w:r w:rsidR="004C084F" w:rsidRPr="004C084F">
        <w:rPr>
          <w:b/>
          <w:sz w:val="22"/>
          <w:szCs w:val="22"/>
        </w:rPr>
        <w:t>-00</w:t>
      </w:r>
      <w:r w:rsidR="005660B8">
        <w:rPr>
          <w:b/>
          <w:sz w:val="22"/>
          <w:szCs w:val="22"/>
        </w:rPr>
        <w:t>03-00/2014</w:t>
      </w:r>
      <w:r w:rsidR="00EC34D3">
        <w:rPr>
          <w:b/>
          <w:sz w:val="22"/>
          <w:szCs w:val="22"/>
        </w:rPr>
        <w:t>/</w:t>
      </w:r>
      <w:r w:rsidR="005660B8">
        <w:rPr>
          <w:b/>
          <w:sz w:val="22"/>
          <w:szCs w:val="22"/>
        </w:rPr>
        <w:t>AGEVISA</w:t>
      </w:r>
    </w:p>
    <w:p w:rsidR="00194BD8" w:rsidRPr="00EE6E7D" w:rsidRDefault="00194BD8" w:rsidP="003A6B78">
      <w:pPr>
        <w:contextualSpacing/>
        <w:jc w:val="both"/>
        <w:rPr>
          <w:i/>
          <w:sz w:val="22"/>
          <w:szCs w:val="22"/>
        </w:rPr>
      </w:pPr>
      <w:r w:rsidRPr="0003780E">
        <w:rPr>
          <w:b/>
          <w:sz w:val="22"/>
          <w:szCs w:val="22"/>
        </w:rPr>
        <w:t>OBJETO:</w:t>
      </w:r>
      <w:r w:rsidR="00EC34D3">
        <w:rPr>
          <w:b/>
          <w:sz w:val="22"/>
          <w:szCs w:val="22"/>
        </w:rPr>
        <w:t xml:space="preserve"> </w:t>
      </w:r>
      <w:r w:rsidR="00EE6E7D" w:rsidRPr="00EE6E7D">
        <w:rPr>
          <w:bCs/>
          <w:i/>
          <w:sz w:val="22"/>
          <w:szCs w:val="22"/>
        </w:rPr>
        <w:t>Formação de Registro de Preços para futura e eventual aquisição de Bens Permanentes de Informática e Eletrodoméstico (microcomputador, notebook, nobreak, impressora, projetor e refrigerador tipo frigobar)</w:t>
      </w:r>
      <w:r w:rsidR="00EC34D3" w:rsidRPr="00EE6E7D">
        <w:rPr>
          <w:i/>
          <w:sz w:val="22"/>
          <w:szCs w:val="22"/>
        </w:rPr>
        <w:t>.</w:t>
      </w:r>
    </w:p>
    <w:p w:rsidR="00194BD8" w:rsidRPr="0003780E" w:rsidRDefault="00194BD8" w:rsidP="004C084F">
      <w:pPr>
        <w:spacing w:line="240" w:lineRule="auto"/>
        <w:jc w:val="both"/>
        <w:rPr>
          <w:sz w:val="22"/>
          <w:szCs w:val="22"/>
        </w:rPr>
      </w:pPr>
    </w:p>
    <w:p w:rsidR="003A6B78" w:rsidRDefault="003A6B78" w:rsidP="00194BD8">
      <w:pPr>
        <w:tabs>
          <w:tab w:val="left" w:pos="3164"/>
        </w:tabs>
        <w:ind w:right="-1"/>
        <w:jc w:val="both"/>
        <w:rPr>
          <w:sz w:val="22"/>
          <w:szCs w:val="22"/>
        </w:rPr>
      </w:pPr>
    </w:p>
    <w:p w:rsidR="00194BD8" w:rsidRPr="0003780E" w:rsidRDefault="00194BD8" w:rsidP="00194BD8">
      <w:pPr>
        <w:tabs>
          <w:tab w:val="left" w:pos="3164"/>
        </w:tabs>
        <w:ind w:right="-1"/>
        <w:jc w:val="both"/>
        <w:rPr>
          <w:sz w:val="22"/>
          <w:szCs w:val="22"/>
        </w:rPr>
      </w:pPr>
      <w:r w:rsidRPr="0003780E">
        <w:rPr>
          <w:sz w:val="22"/>
          <w:szCs w:val="22"/>
        </w:rPr>
        <w:t xml:space="preserve">A Superintendência Estadual de Compras e Licitações – SUPEL, através de sua Pregoeira, nomeada por meio da </w:t>
      </w:r>
      <w:r w:rsidR="009B7814" w:rsidRPr="00DD0AB2">
        <w:rPr>
          <w:color w:val="000000"/>
          <w:sz w:val="22"/>
          <w:szCs w:val="22"/>
        </w:rPr>
        <w:t xml:space="preserve">Portaria nº </w:t>
      </w:r>
      <w:r w:rsidR="009B7814">
        <w:rPr>
          <w:color w:val="000000"/>
          <w:sz w:val="22"/>
          <w:szCs w:val="22"/>
        </w:rPr>
        <w:t>008</w:t>
      </w:r>
      <w:r w:rsidR="009B7814" w:rsidRPr="00DD0AB2">
        <w:rPr>
          <w:color w:val="000000"/>
          <w:sz w:val="22"/>
          <w:szCs w:val="22"/>
        </w:rPr>
        <w:t xml:space="preserve">/GAB/SUPEL, de </w:t>
      </w:r>
      <w:r w:rsidR="009B7814">
        <w:rPr>
          <w:color w:val="000000"/>
          <w:sz w:val="22"/>
          <w:szCs w:val="22"/>
        </w:rPr>
        <w:t>01</w:t>
      </w:r>
      <w:r w:rsidR="009B7814" w:rsidRPr="00DD0AB2">
        <w:rPr>
          <w:color w:val="000000"/>
          <w:sz w:val="22"/>
          <w:szCs w:val="22"/>
        </w:rPr>
        <w:t>.0</w:t>
      </w:r>
      <w:r w:rsidR="009B7814">
        <w:rPr>
          <w:color w:val="000000"/>
          <w:sz w:val="22"/>
          <w:szCs w:val="22"/>
        </w:rPr>
        <w:t>2</w:t>
      </w:r>
      <w:r w:rsidR="009B7814" w:rsidRPr="00DD0AB2">
        <w:rPr>
          <w:color w:val="000000"/>
          <w:sz w:val="22"/>
          <w:szCs w:val="22"/>
        </w:rPr>
        <w:t>.201</w:t>
      </w:r>
      <w:r w:rsidR="009B7814">
        <w:rPr>
          <w:color w:val="000000"/>
          <w:sz w:val="22"/>
          <w:szCs w:val="22"/>
        </w:rPr>
        <w:t>4, publicada no DOE de 12.02.2014</w:t>
      </w:r>
      <w:r w:rsidRPr="0003780E">
        <w:rPr>
          <w:sz w:val="22"/>
          <w:szCs w:val="22"/>
        </w:rPr>
        <w:t>, vem nesse ato esclarecer aos interessados</w:t>
      </w:r>
      <w:r w:rsidR="009B7814">
        <w:rPr>
          <w:sz w:val="22"/>
          <w:szCs w:val="22"/>
        </w:rPr>
        <w:t xml:space="preserve"> e</w:t>
      </w:r>
      <w:r w:rsidRPr="0003780E">
        <w:rPr>
          <w:sz w:val="22"/>
          <w:szCs w:val="22"/>
        </w:rPr>
        <w:t xml:space="preserve">, em especial, </w:t>
      </w:r>
      <w:r w:rsidR="009B7814">
        <w:rPr>
          <w:sz w:val="22"/>
          <w:szCs w:val="22"/>
        </w:rPr>
        <w:t>à</w:t>
      </w:r>
      <w:r w:rsidRPr="0003780E">
        <w:rPr>
          <w:sz w:val="22"/>
          <w:szCs w:val="22"/>
        </w:rPr>
        <w:t>s empresas que retiraram o instrumento convocatório</w:t>
      </w:r>
      <w:r w:rsidR="00AE1962">
        <w:rPr>
          <w:sz w:val="22"/>
          <w:szCs w:val="22"/>
        </w:rPr>
        <w:t>,</w:t>
      </w:r>
      <w:r w:rsidRPr="0003780E">
        <w:rPr>
          <w:sz w:val="22"/>
          <w:szCs w:val="22"/>
        </w:rPr>
        <w:t xml:space="preserve"> que</w:t>
      </w:r>
      <w:r w:rsidR="00AE1962">
        <w:rPr>
          <w:sz w:val="22"/>
          <w:szCs w:val="22"/>
        </w:rPr>
        <w:t xml:space="preserve"> a </w:t>
      </w:r>
      <w:r w:rsidR="009B7814">
        <w:rPr>
          <w:sz w:val="22"/>
          <w:szCs w:val="22"/>
        </w:rPr>
        <w:t>AGEVISA</w:t>
      </w:r>
      <w:r w:rsidR="00AE1962">
        <w:rPr>
          <w:sz w:val="22"/>
          <w:szCs w:val="22"/>
        </w:rPr>
        <w:t xml:space="preserve">, </w:t>
      </w:r>
      <w:r w:rsidR="009B7814">
        <w:rPr>
          <w:sz w:val="22"/>
          <w:szCs w:val="22"/>
        </w:rPr>
        <w:t>nos Ofícios n.° 838 e 882/GAB/2014,</w:t>
      </w:r>
      <w:r w:rsidR="00AE1962">
        <w:rPr>
          <w:sz w:val="22"/>
          <w:szCs w:val="22"/>
        </w:rPr>
        <w:t xml:space="preserve"> </w:t>
      </w:r>
      <w:r w:rsidR="009B7814">
        <w:rPr>
          <w:sz w:val="22"/>
          <w:szCs w:val="22"/>
        </w:rPr>
        <w:t xml:space="preserve">respectivamente, </w:t>
      </w:r>
      <w:r w:rsidR="00AE1962">
        <w:rPr>
          <w:sz w:val="22"/>
          <w:szCs w:val="22"/>
        </w:rPr>
        <w:t>datado</w:t>
      </w:r>
      <w:r w:rsidR="009B7814">
        <w:rPr>
          <w:sz w:val="22"/>
          <w:szCs w:val="22"/>
        </w:rPr>
        <w:t>s</w:t>
      </w:r>
      <w:r w:rsidR="00AE1962">
        <w:rPr>
          <w:sz w:val="22"/>
          <w:szCs w:val="22"/>
        </w:rPr>
        <w:t xml:space="preserve"> de 2</w:t>
      </w:r>
      <w:r w:rsidR="009B7814">
        <w:rPr>
          <w:sz w:val="22"/>
          <w:szCs w:val="22"/>
        </w:rPr>
        <w:t>8 de Abril e 05 de Maio do corrente ano</w:t>
      </w:r>
      <w:r w:rsidRPr="0003780E">
        <w:rPr>
          <w:sz w:val="22"/>
          <w:szCs w:val="22"/>
        </w:rPr>
        <w:t xml:space="preserve">, </w:t>
      </w:r>
      <w:r w:rsidR="009B7814">
        <w:rPr>
          <w:sz w:val="22"/>
          <w:szCs w:val="22"/>
        </w:rPr>
        <w:t xml:space="preserve">recebidos por esta Equipe, respectivamente, em 28 de Abril e 07 de Maio do corrente, </w:t>
      </w:r>
      <w:r w:rsidR="00AD34A4">
        <w:rPr>
          <w:sz w:val="22"/>
          <w:szCs w:val="22"/>
        </w:rPr>
        <w:t>em resposta ao</w:t>
      </w:r>
      <w:r w:rsidR="009B7814">
        <w:rPr>
          <w:sz w:val="22"/>
          <w:szCs w:val="22"/>
        </w:rPr>
        <w:t>s</w:t>
      </w:r>
      <w:r w:rsidR="00AD34A4">
        <w:rPr>
          <w:sz w:val="22"/>
          <w:szCs w:val="22"/>
        </w:rPr>
        <w:t xml:space="preserve"> </w:t>
      </w:r>
      <w:r w:rsidR="00AD34A4" w:rsidRPr="009B7814">
        <w:rPr>
          <w:b/>
          <w:sz w:val="22"/>
          <w:szCs w:val="22"/>
        </w:rPr>
        <w:t>Pedido</w:t>
      </w:r>
      <w:r w:rsidR="009B7814" w:rsidRPr="009B7814">
        <w:rPr>
          <w:b/>
          <w:sz w:val="22"/>
          <w:szCs w:val="22"/>
        </w:rPr>
        <w:t>s</w:t>
      </w:r>
      <w:r w:rsidR="00AD34A4" w:rsidRPr="009B7814">
        <w:rPr>
          <w:b/>
          <w:sz w:val="22"/>
          <w:szCs w:val="22"/>
        </w:rPr>
        <w:t xml:space="preserve"> de Esclarecimento</w:t>
      </w:r>
      <w:r w:rsidR="009B7814" w:rsidRPr="009B7814">
        <w:rPr>
          <w:b/>
          <w:sz w:val="22"/>
          <w:szCs w:val="22"/>
        </w:rPr>
        <w:t>s</w:t>
      </w:r>
      <w:r w:rsidR="00AD34A4">
        <w:rPr>
          <w:sz w:val="22"/>
          <w:szCs w:val="22"/>
        </w:rPr>
        <w:t xml:space="preserve"> da</w:t>
      </w:r>
      <w:r w:rsidR="009B7814">
        <w:rPr>
          <w:sz w:val="22"/>
          <w:szCs w:val="22"/>
        </w:rPr>
        <w:t>s</w:t>
      </w:r>
      <w:r w:rsidR="00AD34A4">
        <w:rPr>
          <w:sz w:val="22"/>
          <w:szCs w:val="22"/>
        </w:rPr>
        <w:t xml:space="preserve"> empresa</w:t>
      </w:r>
      <w:r w:rsidR="009B7814">
        <w:rPr>
          <w:sz w:val="22"/>
          <w:szCs w:val="22"/>
        </w:rPr>
        <w:t>s conforme abaixo</w:t>
      </w:r>
      <w:r w:rsidR="003A6B78">
        <w:rPr>
          <w:sz w:val="22"/>
          <w:szCs w:val="22"/>
        </w:rPr>
        <w:t xml:space="preserve">, </w:t>
      </w:r>
      <w:r w:rsidR="00AD34A4">
        <w:rPr>
          <w:sz w:val="22"/>
          <w:szCs w:val="22"/>
        </w:rPr>
        <w:t>informa que</w:t>
      </w:r>
      <w:r w:rsidR="00AE1962">
        <w:rPr>
          <w:sz w:val="22"/>
          <w:szCs w:val="22"/>
        </w:rPr>
        <w:t>:</w:t>
      </w:r>
    </w:p>
    <w:p w:rsidR="00194BD8" w:rsidRDefault="00194BD8" w:rsidP="00194BD8">
      <w:pPr>
        <w:tabs>
          <w:tab w:val="left" w:pos="3164"/>
        </w:tabs>
        <w:ind w:right="-1"/>
        <w:jc w:val="both"/>
        <w:rPr>
          <w:sz w:val="22"/>
          <w:szCs w:val="22"/>
        </w:rPr>
      </w:pPr>
    </w:p>
    <w:p w:rsidR="002B4C3F" w:rsidRPr="00FC27B1" w:rsidRDefault="00DA1735" w:rsidP="00194BD8">
      <w:pPr>
        <w:tabs>
          <w:tab w:val="left" w:pos="3164"/>
        </w:tabs>
        <w:ind w:right="-1"/>
        <w:jc w:val="both"/>
        <w:rPr>
          <w:b/>
          <w:sz w:val="24"/>
          <w:szCs w:val="24"/>
          <w:u w:val="single"/>
        </w:rPr>
      </w:pPr>
      <w:r w:rsidRPr="00FC27B1">
        <w:rPr>
          <w:b/>
          <w:sz w:val="24"/>
          <w:szCs w:val="24"/>
          <w:u w:val="single"/>
        </w:rPr>
        <w:t>QUESTIONAMENTO</w:t>
      </w:r>
      <w:r w:rsidR="002B4C3F" w:rsidRPr="00FC27B1">
        <w:rPr>
          <w:b/>
          <w:sz w:val="24"/>
          <w:szCs w:val="24"/>
          <w:u w:val="single"/>
        </w:rPr>
        <w:t>S</w:t>
      </w:r>
    </w:p>
    <w:p w:rsidR="002B4C3F" w:rsidRDefault="002B4C3F" w:rsidP="00194BD8">
      <w:pPr>
        <w:tabs>
          <w:tab w:val="left" w:pos="3164"/>
        </w:tabs>
        <w:ind w:right="-1"/>
        <w:jc w:val="both"/>
        <w:rPr>
          <w:b/>
          <w:sz w:val="22"/>
          <w:szCs w:val="22"/>
        </w:rPr>
      </w:pPr>
    </w:p>
    <w:p w:rsidR="00513749" w:rsidRPr="00DA1735" w:rsidRDefault="002B4C3F" w:rsidP="00194BD8">
      <w:pPr>
        <w:tabs>
          <w:tab w:val="left" w:pos="3164"/>
        </w:tabs>
        <w:ind w:right="-1"/>
        <w:jc w:val="both"/>
        <w:rPr>
          <w:b/>
          <w:sz w:val="22"/>
          <w:szCs w:val="22"/>
        </w:rPr>
      </w:pPr>
      <w:r>
        <w:rPr>
          <w:b/>
          <w:sz w:val="22"/>
          <w:szCs w:val="22"/>
        </w:rPr>
        <w:t xml:space="preserve">1) </w:t>
      </w:r>
      <w:r w:rsidR="009B7814">
        <w:rPr>
          <w:b/>
          <w:sz w:val="22"/>
          <w:szCs w:val="22"/>
        </w:rPr>
        <w:t xml:space="preserve">empresa RGT ELETRÔNICA EIRELLI </w:t>
      </w:r>
      <w:r w:rsidR="00E12879">
        <w:rPr>
          <w:b/>
          <w:sz w:val="22"/>
          <w:szCs w:val="22"/>
        </w:rPr>
        <w:t>-</w:t>
      </w:r>
      <w:r w:rsidR="009B7814">
        <w:rPr>
          <w:b/>
          <w:sz w:val="22"/>
          <w:szCs w:val="22"/>
        </w:rPr>
        <w:t xml:space="preserve"> </w:t>
      </w:r>
      <w:r w:rsidR="009B7814" w:rsidRPr="009B7814">
        <w:rPr>
          <w:sz w:val="22"/>
          <w:szCs w:val="22"/>
        </w:rPr>
        <w:t xml:space="preserve">recebido </w:t>
      </w:r>
      <w:r w:rsidR="00E12879">
        <w:rPr>
          <w:sz w:val="22"/>
          <w:szCs w:val="22"/>
        </w:rPr>
        <w:t xml:space="preserve">via e-mail </w:t>
      </w:r>
      <w:r w:rsidR="009B7814" w:rsidRPr="009B7814">
        <w:rPr>
          <w:sz w:val="22"/>
          <w:szCs w:val="22"/>
        </w:rPr>
        <w:t>dia</w:t>
      </w:r>
      <w:r w:rsidR="00C558A9">
        <w:rPr>
          <w:sz w:val="22"/>
          <w:szCs w:val="22"/>
        </w:rPr>
        <w:t xml:space="preserve"> 23/</w:t>
      </w:r>
      <w:r w:rsidR="009B7814">
        <w:rPr>
          <w:sz w:val="22"/>
          <w:szCs w:val="22"/>
        </w:rPr>
        <w:t>04</w:t>
      </w:r>
      <w:r w:rsidR="00C558A9">
        <w:rPr>
          <w:sz w:val="22"/>
          <w:szCs w:val="22"/>
        </w:rPr>
        <w:t>/</w:t>
      </w:r>
      <w:r w:rsidR="009B7814">
        <w:rPr>
          <w:sz w:val="22"/>
          <w:szCs w:val="22"/>
        </w:rPr>
        <w:t>14</w:t>
      </w:r>
      <w:r w:rsidR="00DA1735" w:rsidRPr="009B7814">
        <w:rPr>
          <w:sz w:val="22"/>
          <w:szCs w:val="22"/>
        </w:rPr>
        <w:t>:</w:t>
      </w:r>
    </w:p>
    <w:p w:rsidR="005C00F7" w:rsidRPr="00E12879" w:rsidRDefault="00DA1735" w:rsidP="00E12879">
      <w:pPr>
        <w:pStyle w:val="ecxmsonormal"/>
        <w:spacing w:before="0" w:beforeAutospacing="0" w:after="0" w:afterAutospacing="0"/>
        <w:rPr>
          <w:i/>
          <w:sz w:val="22"/>
          <w:szCs w:val="22"/>
        </w:rPr>
      </w:pPr>
      <w:r w:rsidRPr="00E12879">
        <w:rPr>
          <w:i/>
          <w:sz w:val="22"/>
          <w:szCs w:val="22"/>
        </w:rPr>
        <w:t>“</w:t>
      </w:r>
      <w:r w:rsidR="00E12879" w:rsidRPr="00E12879">
        <w:rPr>
          <w:b/>
          <w:bCs/>
          <w:i/>
          <w:sz w:val="22"/>
          <w:szCs w:val="22"/>
        </w:rPr>
        <w:t>Item 7( Nobreak):</w:t>
      </w:r>
      <w:r w:rsidR="00E12879" w:rsidRPr="00E12879">
        <w:rPr>
          <w:i/>
          <w:sz w:val="22"/>
          <w:szCs w:val="22"/>
        </w:rPr>
        <w:br/>
      </w:r>
      <w:r w:rsidR="00E12879" w:rsidRPr="00E12879">
        <w:rPr>
          <w:b/>
          <w:bCs/>
          <w:i/>
          <w:sz w:val="22"/>
          <w:szCs w:val="22"/>
        </w:rPr>
        <w:t xml:space="preserve">Pergunto: </w:t>
      </w:r>
      <w:r w:rsidR="00E12879" w:rsidRPr="00E12879">
        <w:rPr>
          <w:i/>
          <w:sz w:val="22"/>
          <w:szCs w:val="22"/>
        </w:rPr>
        <w:t>Será aceito equipamento com fornecimento com entrada da rede elétrica 220V e saída 220V?”</w:t>
      </w:r>
    </w:p>
    <w:p w:rsidR="005C00F7" w:rsidRDefault="005C00F7" w:rsidP="00194BD8">
      <w:pPr>
        <w:jc w:val="both"/>
        <w:rPr>
          <w:b/>
          <w:sz w:val="22"/>
          <w:szCs w:val="22"/>
        </w:rPr>
      </w:pPr>
    </w:p>
    <w:p w:rsidR="002B4C3F" w:rsidRPr="00DA1735" w:rsidRDefault="002B4C3F" w:rsidP="002B4C3F">
      <w:pPr>
        <w:tabs>
          <w:tab w:val="left" w:pos="3164"/>
        </w:tabs>
        <w:ind w:right="-1"/>
        <w:jc w:val="both"/>
        <w:rPr>
          <w:b/>
          <w:sz w:val="22"/>
          <w:szCs w:val="22"/>
        </w:rPr>
      </w:pPr>
      <w:r>
        <w:rPr>
          <w:b/>
          <w:sz w:val="22"/>
          <w:szCs w:val="22"/>
        </w:rPr>
        <w:t xml:space="preserve">2) empresa MULTISUPRIMENTOS E EQUIPAMENTOS PARA ESCRITÓRIO E INFORMÁTICA LTDA - </w:t>
      </w:r>
      <w:r w:rsidRPr="009B7814">
        <w:rPr>
          <w:sz w:val="22"/>
          <w:szCs w:val="22"/>
        </w:rPr>
        <w:t xml:space="preserve">recebido </w:t>
      </w:r>
      <w:r>
        <w:rPr>
          <w:sz w:val="22"/>
          <w:szCs w:val="22"/>
        </w:rPr>
        <w:t xml:space="preserve">via e-mail </w:t>
      </w:r>
      <w:r w:rsidRPr="009B7814">
        <w:rPr>
          <w:sz w:val="22"/>
          <w:szCs w:val="22"/>
        </w:rPr>
        <w:t>dia</w:t>
      </w:r>
      <w:r>
        <w:rPr>
          <w:sz w:val="22"/>
          <w:szCs w:val="22"/>
        </w:rPr>
        <w:t xml:space="preserve"> 23</w:t>
      </w:r>
      <w:r w:rsidR="00C558A9">
        <w:rPr>
          <w:sz w:val="22"/>
          <w:szCs w:val="22"/>
        </w:rPr>
        <w:t>/</w:t>
      </w:r>
      <w:r>
        <w:rPr>
          <w:sz w:val="22"/>
          <w:szCs w:val="22"/>
        </w:rPr>
        <w:t>04</w:t>
      </w:r>
      <w:r w:rsidR="00C558A9">
        <w:rPr>
          <w:sz w:val="22"/>
          <w:szCs w:val="22"/>
        </w:rPr>
        <w:t>/</w:t>
      </w:r>
      <w:r>
        <w:rPr>
          <w:sz w:val="22"/>
          <w:szCs w:val="22"/>
        </w:rPr>
        <w:t>14</w:t>
      </w:r>
      <w:r w:rsidRPr="009B7814">
        <w:rPr>
          <w:sz w:val="22"/>
          <w:szCs w:val="22"/>
        </w:rPr>
        <w:t>:</w:t>
      </w:r>
    </w:p>
    <w:p w:rsidR="002B4C3F" w:rsidRPr="00FE7884" w:rsidRDefault="002B4C3F" w:rsidP="00FD3B3C">
      <w:pPr>
        <w:autoSpaceDE w:val="0"/>
        <w:spacing w:line="240" w:lineRule="auto"/>
        <w:jc w:val="both"/>
        <w:rPr>
          <w:i/>
          <w:sz w:val="22"/>
          <w:szCs w:val="22"/>
        </w:rPr>
      </w:pPr>
      <w:r w:rsidRPr="00FE7884">
        <w:rPr>
          <w:b/>
          <w:sz w:val="22"/>
          <w:szCs w:val="22"/>
        </w:rPr>
        <w:t>I</w:t>
      </w:r>
      <w:r>
        <w:rPr>
          <w:b/>
          <w:sz w:val="22"/>
          <w:szCs w:val="22"/>
        </w:rPr>
        <w:t>tem</w:t>
      </w:r>
      <w:r w:rsidRPr="00FE7884">
        <w:rPr>
          <w:b/>
          <w:sz w:val="22"/>
          <w:szCs w:val="22"/>
        </w:rPr>
        <w:t xml:space="preserve"> 5</w:t>
      </w:r>
      <w:r w:rsidR="00F77EF7">
        <w:rPr>
          <w:b/>
          <w:sz w:val="22"/>
          <w:szCs w:val="22"/>
        </w:rPr>
        <w:t>, pergunta</w:t>
      </w:r>
      <w:r w:rsidRPr="00FE7884">
        <w:rPr>
          <w:b/>
          <w:sz w:val="22"/>
          <w:szCs w:val="22"/>
        </w:rPr>
        <w:t xml:space="preserve"> - </w:t>
      </w:r>
      <w:r w:rsidRPr="00FE7884">
        <w:rPr>
          <w:i/>
          <w:sz w:val="22"/>
          <w:szCs w:val="22"/>
        </w:rPr>
        <w:t>“</w:t>
      </w:r>
      <w:r w:rsidRPr="00FE7884">
        <w:rPr>
          <w:i/>
          <w:color w:val="000000"/>
          <w:sz w:val="22"/>
          <w:szCs w:val="22"/>
        </w:rPr>
        <w:t xml:space="preserve">No que diz respeito à </w:t>
      </w:r>
      <w:r w:rsidRPr="00FE7884">
        <w:rPr>
          <w:b/>
          <w:bCs/>
          <w:i/>
          <w:iCs/>
          <w:color w:val="000000"/>
          <w:sz w:val="22"/>
          <w:szCs w:val="22"/>
        </w:rPr>
        <w:t>Peso aproximado de 5 a 6,00 quilos.</w:t>
      </w:r>
      <w:r w:rsidRPr="00FE7884">
        <w:rPr>
          <w:i/>
          <w:color w:val="000000"/>
          <w:sz w:val="22"/>
          <w:szCs w:val="22"/>
        </w:rPr>
        <w:t xml:space="preserve"> Informamos que não encontramos, nos principais fabricantes, nenhuma multifuncional dentro dessas características que possua esse peso. Encontramos multifuncionais com peso aproximado entre 11 a 12 quilos.</w:t>
      </w:r>
    </w:p>
    <w:p w:rsidR="002B4C3F" w:rsidRDefault="002B4C3F" w:rsidP="00FD3B3C">
      <w:pPr>
        <w:jc w:val="both"/>
        <w:rPr>
          <w:b/>
          <w:sz w:val="22"/>
          <w:szCs w:val="22"/>
        </w:rPr>
      </w:pPr>
      <w:r w:rsidRPr="00FE7884">
        <w:rPr>
          <w:i/>
          <w:color w:val="000000"/>
          <w:sz w:val="22"/>
          <w:szCs w:val="22"/>
        </w:rPr>
        <w:t>Esclarecemos ainda que a característica “peso”, não interfere na funcionalidade da multifuncional, pelo contrário, pois poderá ocorrer ofertas de equipamentos superiores tecnicamente. Essa medida também aumentará o número de licitantes e ocasionará uma maior competitividade, proporcionando uma redução no custo de aquisição</w:t>
      </w:r>
      <w:r>
        <w:rPr>
          <w:i/>
          <w:color w:val="000000"/>
          <w:sz w:val="22"/>
          <w:szCs w:val="22"/>
        </w:rPr>
        <w:t>.</w:t>
      </w:r>
      <w:r w:rsidRPr="00FE7884">
        <w:rPr>
          <w:i/>
          <w:sz w:val="22"/>
          <w:szCs w:val="22"/>
        </w:rPr>
        <w:t>”</w:t>
      </w:r>
    </w:p>
    <w:p w:rsidR="002B4C3F" w:rsidRDefault="002B4C3F" w:rsidP="00194BD8">
      <w:pPr>
        <w:jc w:val="both"/>
        <w:rPr>
          <w:b/>
          <w:sz w:val="22"/>
          <w:szCs w:val="22"/>
        </w:rPr>
      </w:pPr>
    </w:p>
    <w:p w:rsidR="002B4C3F" w:rsidRPr="002B4C3F" w:rsidRDefault="002B4C3F" w:rsidP="00194BD8">
      <w:pPr>
        <w:jc w:val="both"/>
        <w:rPr>
          <w:sz w:val="22"/>
          <w:szCs w:val="22"/>
        </w:rPr>
      </w:pPr>
      <w:r>
        <w:rPr>
          <w:b/>
          <w:sz w:val="22"/>
          <w:szCs w:val="22"/>
        </w:rPr>
        <w:t xml:space="preserve">3) empresa NHS Sistemas Eletrônicos LTDA – </w:t>
      </w:r>
      <w:r>
        <w:rPr>
          <w:sz w:val="22"/>
          <w:szCs w:val="22"/>
        </w:rPr>
        <w:t xml:space="preserve">recebido via e-mail dia </w:t>
      </w:r>
      <w:r w:rsidR="00C558A9">
        <w:rPr>
          <w:sz w:val="22"/>
          <w:szCs w:val="22"/>
        </w:rPr>
        <w:t>28/04/14:</w:t>
      </w:r>
    </w:p>
    <w:p w:rsidR="00F77EF7" w:rsidRPr="00F77EF7" w:rsidRDefault="00F77EF7" w:rsidP="00F77EF7">
      <w:pPr>
        <w:widowControl/>
        <w:autoSpaceDN/>
        <w:adjustRightInd/>
        <w:spacing w:line="240" w:lineRule="auto"/>
        <w:rPr>
          <w:color w:val="000000"/>
          <w:sz w:val="22"/>
          <w:szCs w:val="22"/>
        </w:rPr>
      </w:pPr>
      <w:r w:rsidRPr="00F77EF7">
        <w:rPr>
          <w:b/>
          <w:sz w:val="22"/>
          <w:szCs w:val="22"/>
        </w:rPr>
        <w:t>Itens 6 e 7, pergunta:</w:t>
      </w:r>
      <w:r w:rsidRPr="00F77EF7">
        <w:rPr>
          <w:sz w:val="22"/>
          <w:szCs w:val="22"/>
        </w:rPr>
        <w:t xml:space="preserve"> “</w:t>
      </w:r>
      <w:r w:rsidRPr="00FD3B3C">
        <w:rPr>
          <w:bCs/>
          <w:i/>
          <w:color w:val="000000"/>
          <w:sz w:val="22"/>
          <w:szCs w:val="22"/>
        </w:rPr>
        <w:t>Qual a real potência em Watts desejada para a autonomia mínima de 30 minutos ?</w:t>
      </w:r>
      <w:r w:rsidRPr="00F77EF7">
        <w:rPr>
          <w:bCs/>
          <w:color w:val="000000"/>
          <w:sz w:val="22"/>
          <w:szCs w:val="22"/>
        </w:rPr>
        <w:t>”</w:t>
      </w:r>
    </w:p>
    <w:p w:rsidR="002B4C3F" w:rsidRPr="00F77EF7" w:rsidRDefault="002B4C3F" w:rsidP="00F77EF7">
      <w:pPr>
        <w:spacing w:line="240" w:lineRule="auto"/>
        <w:jc w:val="both"/>
        <w:rPr>
          <w:b/>
          <w:sz w:val="22"/>
          <w:szCs w:val="22"/>
        </w:rPr>
      </w:pPr>
    </w:p>
    <w:p w:rsidR="00FD3B3C" w:rsidRPr="00FD3B3C" w:rsidRDefault="00F77EF7" w:rsidP="00F77EF7">
      <w:pPr>
        <w:spacing w:line="240" w:lineRule="auto"/>
        <w:jc w:val="both"/>
        <w:rPr>
          <w:sz w:val="22"/>
          <w:szCs w:val="22"/>
        </w:rPr>
      </w:pPr>
      <w:r>
        <w:rPr>
          <w:b/>
          <w:sz w:val="22"/>
          <w:szCs w:val="22"/>
        </w:rPr>
        <w:t xml:space="preserve">4) empresa </w:t>
      </w:r>
      <w:r w:rsidR="00FD3B3C">
        <w:rPr>
          <w:b/>
          <w:sz w:val="22"/>
          <w:szCs w:val="22"/>
        </w:rPr>
        <w:t xml:space="preserve">TECZAP – </w:t>
      </w:r>
      <w:r w:rsidR="00FD3B3C">
        <w:rPr>
          <w:sz w:val="22"/>
          <w:szCs w:val="22"/>
        </w:rPr>
        <w:t>enviado por Viviane Maia via e-mail, recebido em 05/05/2014:</w:t>
      </w:r>
    </w:p>
    <w:p w:rsidR="00FD3B3C" w:rsidRDefault="00FD3B3C" w:rsidP="00FD3B3C">
      <w:pPr>
        <w:spacing w:line="240" w:lineRule="auto"/>
        <w:jc w:val="both"/>
        <w:rPr>
          <w:sz w:val="24"/>
          <w:szCs w:val="24"/>
        </w:rPr>
      </w:pPr>
      <w:r>
        <w:rPr>
          <w:b/>
          <w:sz w:val="24"/>
          <w:szCs w:val="24"/>
        </w:rPr>
        <w:t xml:space="preserve">Itens 1 e 2, pergunta: </w:t>
      </w:r>
      <w:r w:rsidRPr="00FD3B3C">
        <w:rPr>
          <w:sz w:val="24"/>
          <w:szCs w:val="24"/>
        </w:rPr>
        <w:t>“</w:t>
      </w:r>
      <w:r w:rsidRPr="00FD3B3C">
        <w:rPr>
          <w:i/>
          <w:sz w:val="24"/>
          <w:szCs w:val="24"/>
        </w:rPr>
        <w:t>...Termo de referência exige: “</w:t>
      </w:r>
      <w:r w:rsidRPr="00FD3B3C">
        <w:rPr>
          <w:b/>
          <w:bCs/>
          <w:i/>
          <w:sz w:val="24"/>
          <w:szCs w:val="24"/>
        </w:rPr>
        <w:t>Motherboard (Placa Mãe): Padrão Socket LGA 1155, Processador: Socket LGA1155 3330</w:t>
      </w:r>
      <w:r w:rsidRPr="00FD3B3C">
        <w:rPr>
          <w:i/>
          <w:sz w:val="24"/>
          <w:szCs w:val="24"/>
        </w:rPr>
        <w:t xml:space="preserve">”. Sabendo-se que a lei de licitações impede indicação de marca e modelo de produtos, sendo assim para uma maior participação de licitantes e seguindo o Principio da economicidade, entendemos que esta indicação é apenas uma referência sendo aceito outras marcas e modelos dos componentes, desde que sejam iguais ou superiores as indicadas. Entende-se superior processador com pontuação superior ao exigido no edital pelo conceituado site </w:t>
      </w:r>
      <w:hyperlink r:id="rId7" w:tgtFrame="_blank" w:history="1">
        <w:r w:rsidRPr="00FD3B3C">
          <w:rPr>
            <w:i/>
            <w:color w:val="0000FF"/>
            <w:sz w:val="24"/>
            <w:szCs w:val="24"/>
            <w:u w:val="single"/>
          </w:rPr>
          <w:t>http://www.cpubenchmark.net/high_end_cpus.html</w:t>
        </w:r>
      </w:hyperlink>
      <w:r w:rsidRPr="00FD3B3C">
        <w:rPr>
          <w:i/>
          <w:sz w:val="24"/>
          <w:szCs w:val="24"/>
        </w:rPr>
        <w:t>.  Nosso entendimento está correto</w:t>
      </w:r>
      <w:r>
        <w:rPr>
          <w:i/>
          <w:sz w:val="24"/>
          <w:szCs w:val="24"/>
        </w:rPr>
        <w:t>?</w:t>
      </w:r>
      <w:r w:rsidRPr="00FD3B3C">
        <w:rPr>
          <w:sz w:val="24"/>
          <w:szCs w:val="24"/>
        </w:rPr>
        <w:t>”</w:t>
      </w:r>
    </w:p>
    <w:p w:rsidR="00FC27B1" w:rsidRPr="005373F3" w:rsidRDefault="00FC27B1" w:rsidP="00FD3B3C">
      <w:pPr>
        <w:spacing w:line="240" w:lineRule="auto"/>
        <w:jc w:val="both"/>
        <w:rPr>
          <w:sz w:val="24"/>
          <w:szCs w:val="24"/>
        </w:rPr>
      </w:pPr>
    </w:p>
    <w:p w:rsidR="00FD3B3C" w:rsidRPr="00FD3B3C" w:rsidRDefault="00FD3B3C" w:rsidP="00FD3B3C">
      <w:pPr>
        <w:spacing w:line="240" w:lineRule="auto"/>
        <w:jc w:val="both"/>
        <w:rPr>
          <w:i/>
        </w:rPr>
      </w:pPr>
      <w:r>
        <w:rPr>
          <w:b/>
          <w:sz w:val="24"/>
          <w:szCs w:val="24"/>
        </w:rPr>
        <w:t>Itens 1, 2 e 3, pergunta:</w:t>
      </w:r>
      <w:r w:rsidRPr="00FD3B3C">
        <w:rPr>
          <w:sz w:val="24"/>
          <w:szCs w:val="24"/>
        </w:rPr>
        <w:t xml:space="preserve"> </w:t>
      </w:r>
      <w:r w:rsidRPr="00FD3B3C">
        <w:rPr>
          <w:i/>
          <w:sz w:val="24"/>
          <w:szCs w:val="24"/>
        </w:rPr>
        <w:t xml:space="preserve">“...Termo de referência exige: "constar na lista de compatibilidade da Microsoft na internet HCL, Compatibilidade eletromagnética: IEC 61000, CISPR22 e </w:t>
      </w:r>
      <w:r w:rsidRPr="00FD3B3C">
        <w:rPr>
          <w:i/>
        </w:rPr>
        <w:t>CISPR24, EPEAT Gold e RoHS, IEC 60950.”</w:t>
      </w:r>
    </w:p>
    <w:p w:rsidR="00FD3B3C" w:rsidRPr="00FD3B3C" w:rsidRDefault="00FD3B3C" w:rsidP="00FD3B3C">
      <w:pPr>
        <w:spacing w:line="240" w:lineRule="auto"/>
        <w:ind w:left="2835"/>
        <w:jc w:val="both"/>
        <w:rPr>
          <w:i/>
        </w:rPr>
      </w:pPr>
      <w:r w:rsidRPr="00FD3B3C">
        <w:rPr>
          <w:i/>
        </w:rPr>
        <w:t> De acordo com Acórdão 855/2013 – Plenário</w:t>
      </w:r>
    </w:p>
    <w:p w:rsidR="00FD3B3C" w:rsidRPr="00FD3B3C" w:rsidRDefault="00FD3B3C" w:rsidP="00FD3B3C">
      <w:pPr>
        <w:spacing w:line="240" w:lineRule="auto"/>
        <w:ind w:left="2835"/>
        <w:jc w:val="both"/>
        <w:rPr>
          <w:i/>
        </w:rPr>
      </w:pPr>
      <w:r w:rsidRPr="00FD3B3C">
        <w:rPr>
          <w:i/>
        </w:rPr>
        <w:t xml:space="preserve">De igual sorte, a exigência relacionada às certificações (FCC, UL 60950-1, IEC 60950-1 e CE) pode ser considerada excessiva, se utilizada como </w:t>
      </w:r>
      <w:r w:rsidRPr="00FD3B3C">
        <w:rPr>
          <w:i/>
        </w:rPr>
        <w:lastRenderedPageBreak/>
        <w:t>critério eliminatório. Conforme Acórdão 7549/2010-2ª Câmara, tal exigência é cabível apenas como critério classificatório.</w:t>
      </w:r>
    </w:p>
    <w:p w:rsidR="00FD3B3C" w:rsidRPr="00FD3B3C" w:rsidRDefault="00FD3B3C" w:rsidP="00FD3B3C">
      <w:pPr>
        <w:spacing w:line="240" w:lineRule="auto"/>
        <w:ind w:left="2835"/>
        <w:jc w:val="both"/>
        <w:rPr>
          <w:i/>
        </w:rPr>
      </w:pPr>
      <w:r w:rsidRPr="00FD3B3C">
        <w:rPr>
          <w:i/>
        </w:rPr>
        <w:t> Conforme TC 027.257/2012-6</w:t>
      </w:r>
    </w:p>
    <w:p w:rsidR="00FD3B3C" w:rsidRPr="00FD3B3C" w:rsidRDefault="00FD3B3C" w:rsidP="00FD3B3C">
      <w:pPr>
        <w:spacing w:line="240" w:lineRule="auto"/>
        <w:ind w:left="2835"/>
        <w:jc w:val="both"/>
        <w:rPr>
          <w:i/>
        </w:rPr>
      </w:pPr>
      <w:r w:rsidRPr="00FD3B3C">
        <w:rPr>
          <w:i/>
        </w:rPr>
        <w:t> “permita, para desktops padrão e avançado, outros meios de comprovação de atendimento aos requisitos de sustentabilidade ambiental dispostos no art. 3º, inciso II, do Decreto 7.174/2010, além da certificação Epeat (item VII.1);”</w:t>
      </w:r>
    </w:p>
    <w:p w:rsidR="00FD3B3C" w:rsidRPr="00FD3B3C" w:rsidRDefault="00FD3B3C" w:rsidP="00FD3B3C">
      <w:pPr>
        <w:spacing w:line="240" w:lineRule="auto"/>
        <w:ind w:left="2835"/>
        <w:jc w:val="both"/>
        <w:rPr>
          <w:i/>
        </w:rPr>
      </w:pPr>
      <w:r w:rsidRPr="00FD3B3C">
        <w:rPr>
          <w:i/>
        </w:rPr>
        <w:t> Conforme Relação 4/2013:</w:t>
      </w:r>
    </w:p>
    <w:p w:rsidR="00FD3B3C" w:rsidRPr="00FD3B3C" w:rsidRDefault="00FD3B3C" w:rsidP="00FD3B3C">
      <w:pPr>
        <w:spacing w:line="240" w:lineRule="auto"/>
        <w:ind w:left="2835"/>
        <w:jc w:val="both"/>
        <w:rPr>
          <w:i/>
        </w:rPr>
      </w:pPr>
      <w:r w:rsidRPr="00FD3B3C">
        <w:rPr>
          <w:i/>
        </w:rPr>
        <w:t>  “A aceitação de certificação de produto ofertado que seja inapta para o atendimento da especificação constante do edital para o bem ou serviço licitado (verificada, quanto a monitores de vídeo, na aceitação de certificado EPEAT, categoria Silver, com base em mera declaração de licitante, quando havia sido especificado, mediante o item 1.1.5.2.3 do anexo II do edital, o certificado EPEAT, categoria Gold; e quanto aos itens 1.1.5.2.25, 1.1.5.2.26, 4.13 e 4.14 do referido anexo, referentes à compatibilidade com as normas IEC 60950, ou similar, e IEC 61000, emitidas por órgão acreditado pelo Inmetro, consoante as Portarias Inmetro 170/2012 e 361/2011), como também a inclusão de especificação não motivada para equipamento a ser adquirido no certame, apta a ensejar desclassificação de propostas (verificada quanto ao item 1.1.5.10.7.1 do anexo II ao edital, acerca de posições de entradas de ar para computadores de mesa), afrontam os princípios da isonomia, legalidade e vinculação ao instrumento convocatório, insculpidos no art. 3º da Lei 8.666/1993;” e</w:t>
      </w:r>
    </w:p>
    <w:p w:rsidR="00FD3B3C" w:rsidRPr="00FD3B3C" w:rsidRDefault="00FD3B3C" w:rsidP="00FD3B3C">
      <w:pPr>
        <w:spacing w:line="240" w:lineRule="auto"/>
        <w:ind w:left="2835"/>
        <w:jc w:val="both"/>
        <w:rPr>
          <w:i/>
        </w:rPr>
      </w:pPr>
      <w:r w:rsidRPr="00FD3B3C">
        <w:rPr>
          <w:i/>
        </w:rPr>
        <w:t> Conforme Acórdão 7549/2010:</w:t>
      </w:r>
    </w:p>
    <w:p w:rsidR="00FD3B3C" w:rsidRPr="00FD3B3C" w:rsidRDefault="00FD3B3C" w:rsidP="00FD3B3C">
      <w:pPr>
        <w:spacing w:line="240" w:lineRule="auto"/>
        <w:ind w:left="2835"/>
        <w:jc w:val="both"/>
        <w:rPr>
          <w:i/>
        </w:rPr>
      </w:pPr>
      <w:r w:rsidRPr="00FD3B3C">
        <w:rPr>
          <w:i/>
        </w:rPr>
        <w:t> </w:t>
      </w:r>
      <w:hyperlink r:id="rId8" w:tgtFrame="_blank" w:history="1">
        <w:r w:rsidRPr="00FD3B3C">
          <w:rPr>
            <w:i/>
            <w:color w:val="0000FF"/>
            <w:u w:val="single"/>
          </w:rPr>
          <w:t>http://www.tcu.gov.br/Consultas/Juris/Docs/judoc/Acord/20101215/AC_7549_42_10_2.doc</w:t>
        </w:r>
      </w:hyperlink>
    </w:p>
    <w:p w:rsidR="00FD3B3C" w:rsidRPr="00FD3B3C" w:rsidRDefault="00FD3B3C" w:rsidP="00FD3B3C">
      <w:pPr>
        <w:spacing w:line="240" w:lineRule="auto"/>
        <w:ind w:left="2835"/>
        <w:jc w:val="both"/>
        <w:rPr>
          <w:i/>
        </w:rPr>
      </w:pPr>
      <w:r w:rsidRPr="00FD3B3C">
        <w:rPr>
          <w:i/>
        </w:rPr>
        <w:t> “a) BIOS do mesmo fabricante do equipamento ou ter direitos (copyright) sobre esse BIOS, não sendo aceito o regime de OEM e certificados da série ISO-9001, relativamente ao fabricante, e de certificados IEC-60950, CSA C22.2 e CISPR, relacionados à qualidade dos equipamentos requeridos, são exigência que afrontam os princípios legais da isonomia e da vedação a cláusulas restritivas da competitividade da licitação (arts. 37, XXI, da Constituição Federal; 3º, § 1º, I, da Lei nº 8.666/93 e art. 3º, inciso II, da Lei nº 10.520/2002), bem como a jurisprudência do TCU (Decisão nº 20/1998 - Plenário, Acórdãos nºs 124/2002, 38/2003, 1708/2003, 1.094/2004, 1.878/2005, 167/2006, 998/2006, 870/2006 e 2521/2008, todos do Plenário, 1580/2005 - Primeira Câmara e 2852/2010-Segunda Câmara);”</w:t>
      </w:r>
    </w:p>
    <w:p w:rsidR="00FD3B3C" w:rsidRPr="00FD3B3C" w:rsidRDefault="00FD3B3C" w:rsidP="00FD3B3C">
      <w:pPr>
        <w:spacing w:line="240" w:lineRule="auto"/>
        <w:jc w:val="both"/>
        <w:rPr>
          <w:i/>
          <w:sz w:val="22"/>
          <w:szCs w:val="22"/>
        </w:rPr>
      </w:pPr>
      <w:r w:rsidRPr="00FD3B3C">
        <w:rPr>
          <w:i/>
          <w:sz w:val="22"/>
          <w:szCs w:val="22"/>
        </w:rPr>
        <w:t> Diante disso tais exigências serão desconsideradas. Nosso entendimento está correto?</w:t>
      </w:r>
    </w:p>
    <w:p w:rsidR="00FD3B3C" w:rsidRDefault="00FD3B3C" w:rsidP="00FD3B3C">
      <w:pPr>
        <w:spacing w:line="240" w:lineRule="auto"/>
        <w:jc w:val="both"/>
        <w:rPr>
          <w:sz w:val="22"/>
          <w:szCs w:val="22"/>
        </w:rPr>
      </w:pPr>
      <w:r w:rsidRPr="005373F3">
        <w:rPr>
          <w:sz w:val="24"/>
          <w:szCs w:val="24"/>
        </w:rPr>
        <w:br w:type="textWrapping" w:clear="all"/>
      </w:r>
      <w:r w:rsidR="00FC27B1">
        <w:rPr>
          <w:b/>
          <w:sz w:val="22"/>
          <w:szCs w:val="22"/>
        </w:rPr>
        <w:t xml:space="preserve">5) empresa SISTERPEL SUP PARA INFORMÁTICA LTDA – </w:t>
      </w:r>
      <w:r w:rsidR="00FC27B1">
        <w:rPr>
          <w:sz w:val="22"/>
          <w:szCs w:val="22"/>
        </w:rPr>
        <w:t>recebido em 12/05/14 via e-mail:</w:t>
      </w:r>
    </w:p>
    <w:p w:rsidR="00FC27B1" w:rsidRDefault="00FC27B1" w:rsidP="00FD3B3C">
      <w:pPr>
        <w:spacing w:line="240" w:lineRule="auto"/>
        <w:jc w:val="both"/>
        <w:rPr>
          <w:sz w:val="22"/>
          <w:szCs w:val="22"/>
        </w:rPr>
      </w:pPr>
      <w:r>
        <w:rPr>
          <w:b/>
          <w:sz w:val="22"/>
          <w:szCs w:val="22"/>
        </w:rPr>
        <w:t xml:space="preserve">Item 7, pergunta – </w:t>
      </w:r>
      <w:r>
        <w:rPr>
          <w:sz w:val="22"/>
          <w:szCs w:val="22"/>
        </w:rPr>
        <w:t>“Será aceito nobreak que forneça entrada 220V e saída em 220V?</w:t>
      </w:r>
    </w:p>
    <w:p w:rsidR="00FD3B3C" w:rsidRPr="00F77EF7" w:rsidRDefault="00FD3B3C" w:rsidP="00F77EF7">
      <w:pPr>
        <w:spacing w:line="240" w:lineRule="auto"/>
        <w:jc w:val="both"/>
        <w:rPr>
          <w:b/>
          <w:sz w:val="22"/>
          <w:szCs w:val="22"/>
        </w:rPr>
      </w:pPr>
    </w:p>
    <w:p w:rsidR="00FC27B1" w:rsidRDefault="00FC27B1" w:rsidP="00194BD8">
      <w:pPr>
        <w:jc w:val="both"/>
        <w:rPr>
          <w:b/>
          <w:sz w:val="22"/>
          <w:szCs w:val="22"/>
        </w:rPr>
      </w:pPr>
    </w:p>
    <w:p w:rsidR="00DA1735" w:rsidRPr="00FC27B1" w:rsidRDefault="00DA1735" w:rsidP="00194BD8">
      <w:pPr>
        <w:jc w:val="both"/>
        <w:rPr>
          <w:b/>
          <w:sz w:val="24"/>
          <w:szCs w:val="24"/>
          <w:u w:val="single"/>
        </w:rPr>
      </w:pPr>
      <w:r w:rsidRPr="00FC27B1">
        <w:rPr>
          <w:b/>
          <w:sz w:val="24"/>
          <w:szCs w:val="24"/>
          <w:u w:val="single"/>
        </w:rPr>
        <w:t>RESPOSTA</w:t>
      </w:r>
      <w:r w:rsidR="002B4C3F" w:rsidRPr="00FC27B1">
        <w:rPr>
          <w:b/>
          <w:sz w:val="24"/>
          <w:szCs w:val="24"/>
          <w:u w:val="single"/>
        </w:rPr>
        <w:t>S</w:t>
      </w:r>
    </w:p>
    <w:p w:rsidR="002B4C3F" w:rsidRDefault="002B4C3F" w:rsidP="00194BD8">
      <w:pPr>
        <w:jc w:val="both"/>
        <w:rPr>
          <w:b/>
          <w:sz w:val="22"/>
          <w:szCs w:val="22"/>
        </w:rPr>
      </w:pPr>
    </w:p>
    <w:p w:rsidR="00AD34A4" w:rsidRPr="00CF0637" w:rsidRDefault="002B4C3F" w:rsidP="00194BD8">
      <w:pPr>
        <w:jc w:val="both"/>
        <w:rPr>
          <w:b/>
          <w:sz w:val="22"/>
          <w:szCs w:val="22"/>
        </w:rPr>
      </w:pPr>
      <w:r>
        <w:rPr>
          <w:b/>
          <w:sz w:val="22"/>
          <w:szCs w:val="22"/>
        </w:rPr>
        <w:t xml:space="preserve">1) </w:t>
      </w:r>
      <w:r w:rsidR="00F77EF7">
        <w:rPr>
          <w:b/>
          <w:sz w:val="22"/>
          <w:szCs w:val="22"/>
        </w:rPr>
        <w:t xml:space="preserve">Item 7 - </w:t>
      </w:r>
      <w:r w:rsidR="00A9638B">
        <w:rPr>
          <w:sz w:val="22"/>
          <w:szCs w:val="22"/>
        </w:rPr>
        <w:t>“...</w:t>
      </w:r>
      <w:r w:rsidR="00E12879">
        <w:rPr>
          <w:sz w:val="22"/>
          <w:szCs w:val="22"/>
        </w:rPr>
        <w:t xml:space="preserve">não </w:t>
      </w:r>
      <w:r w:rsidR="00E12879" w:rsidRPr="002B4C3F">
        <w:rPr>
          <w:b/>
          <w:sz w:val="22"/>
          <w:szCs w:val="22"/>
        </w:rPr>
        <w:t>será</w:t>
      </w:r>
      <w:r w:rsidR="00E12879">
        <w:rPr>
          <w:sz w:val="22"/>
          <w:szCs w:val="22"/>
        </w:rPr>
        <w:t xml:space="preserve"> aceito entrada de rede elétrica 220V a entrada deverá ser bivolt conforme o Item 7(nobreak)</w:t>
      </w:r>
      <w:r w:rsidR="00CF0637">
        <w:rPr>
          <w:sz w:val="22"/>
          <w:szCs w:val="22"/>
        </w:rPr>
        <w:t>.”</w:t>
      </w:r>
    </w:p>
    <w:p w:rsidR="00A9638B" w:rsidRDefault="00A9638B" w:rsidP="00194BD8">
      <w:pPr>
        <w:jc w:val="both"/>
        <w:rPr>
          <w:sz w:val="22"/>
          <w:szCs w:val="22"/>
        </w:rPr>
      </w:pPr>
    </w:p>
    <w:p w:rsidR="00FE7884" w:rsidRDefault="002B4C3F" w:rsidP="00FE7884">
      <w:pPr>
        <w:jc w:val="both"/>
        <w:rPr>
          <w:sz w:val="22"/>
          <w:szCs w:val="22"/>
        </w:rPr>
      </w:pPr>
      <w:r w:rsidRPr="002B4C3F">
        <w:rPr>
          <w:b/>
          <w:sz w:val="22"/>
          <w:szCs w:val="22"/>
        </w:rPr>
        <w:t xml:space="preserve">2) </w:t>
      </w:r>
      <w:r w:rsidR="00F77EF7">
        <w:rPr>
          <w:b/>
          <w:sz w:val="22"/>
          <w:szCs w:val="22"/>
        </w:rPr>
        <w:t xml:space="preserve">Item 5 - </w:t>
      </w:r>
      <w:r w:rsidR="00FE7884">
        <w:rPr>
          <w:sz w:val="22"/>
          <w:szCs w:val="22"/>
        </w:rPr>
        <w:t>“....</w:t>
      </w:r>
      <w:r w:rsidRPr="002B4C3F">
        <w:rPr>
          <w:b/>
          <w:i/>
          <w:sz w:val="22"/>
          <w:szCs w:val="22"/>
        </w:rPr>
        <w:t>quanto ao item 5</w:t>
      </w:r>
      <w:r w:rsidRPr="002B4C3F">
        <w:rPr>
          <w:i/>
          <w:sz w:val="22"/>
          <w:szCs w:val="22"/>
        </w:rPr>
        <w:t xml:space="preserve"> – Impressora Laser Multifuncional Monocromática: em relação ao peso, considerando que não irá comprometer a funcionalidade do produto, concordamos em retirar do item esse quesito deixando sem a exigência do peso</w:t>
      </w:r>
      <w:r w:rsidR="00FE7884">
        <w:rPr>
          <w:sz w:val="22"/>
          <w:szCs w:val="22"/>
        </w:rPr>
        <w:t>”</w:t>
      </w:r>
    </w:p>
    <w:p w:rsidR="00FE7884" w:rsidRDefault="00FE7884" w:rsidP="00194BD8">
      <w:pPr>
        <w:jc w:val="both"/>
        <w:rPr>
          <w:sz w:val="22"/>
          <w:szCs w:val="22"/>
        </w:rPr>
      </w:pPr>
    </w:p>
    <w:p w:rsidR="00FE7884" w:rsidRPr="00F77EF7" w:rsidRDefault="002B4C3F" w:rsidP="00194BD8">
      <w:pPr>
        <w:jc w:val="both"/>
        <w:rPr>
          <w:b/>
          <w:sz w:val="22"/>
          <w:szCs w:val="22"/>
        </w:rPr>
      </w:pPr>
      <w:r w:rsidRPr="002B4C3F">
        <w:rPr>
          <w:b/>
          <w:sz w:val="22"/>
          <w:szCs w:val="22"/>
        </w:rPr>
        <w:t xml:space="preserve">3) </w:t>
      </w:r>
      <w:r w:rsidR="00F77EF7">
        <w:rPr>
          <w:b/>
          <w:sz w:val="22"/>
          <w:szCs w:val="22"/>
        </w:rPr>
        <w:t xml:space="preserve">Item 6 e 7 - </w:t>
      </w:r>
      <w:r w:rsidR="00F77EF7" w:rsidRPr="00F77EF7">
        <w:rPr>
          <w:sz w:val="22"/>
          <w:szCs w:val="22"/>
        </w:rPr>
        <w:t xml:space="preserve">“...referente aos itens 006 e 007, solicitamos retirar da especificação do produto o quesito </w:t>
      </w:r>
      <w:r w:rsidR="00F77EF7" w:rsidRPr="00F77EF7">
        <w:rPr>
          <w:i/>
          <w:sz w:val="22"/>
          <w:szCs w:val="22"/>
        </w:rPr>
        <w:t>“Autonomia mínima de 30 minutos</w:t>
      </w:r>
      <w:r w:rsidR="00F77EF7">
        <w:rPr>
          <w:i/>
          <w:sz w:val="22"/>
          <w:szCs w:val="22"/>
        </w:rPr>
        <w:t>.</w:t>
      </w:r>
      <w:r w:rsidR="00F77EF7" w:rsidRPr="00F77EF7">
        <w:rPr>
          <w:i/>
          <w:sz w:val="22"/>
          <w:szCs w:val="22"/>
        </w:rPr>
        <w:t>”’</w:t>
      </w:r>
      <w:r w:rsidR="00F77EF7">
        <w:rPr>
          <w:i/>
          <w:sz w:val="22"/>
          <w:szCs w:val="22"/>
        </w:rPr>
        <w:t>.</w:t>
      </w:r>
    </w:p>
    <w:p w:rsidR="00FE7884" w:rsidRDefault="00FE7884" w:rsidP="00194BD8">
      <w:pPr>
        <w:jc w:val="both"/>
        <w:rPr>
          <w:sz w:val="22"/>
          <w:szCs w:val="22"/>
        </w:rPr>
      </w:pPr>
    </w:p>
    <w:p w:rsidR="00FC27B1" w:rsidRPr="00AF7131" w:rsidRDefault="002B4C3F" w:rsidP="00FC27B1">
      <w:pPr>
        <w:spacing w:line="240" w:lineRule="auto"/>
        <w:jc w:val="both"/>
        <w:rPr>
          <w:sz w:val="23"/>
          <w:szCs w:val="23"/>
        </w:rPr>
      </w:pPr>
      <w:r>
        <w:rPr>
          <w:b/>
          <w:sz w:val="22"/>
          <w:szCs w:val="22"/>
        </w:rPr>
        <w:t>4</w:t>
      </w:r>
      <w:r w:rsidRPr="002B4C3F">
        <w:rPr>
          <w:b/>
          <w:sz w:val="22"/>
          <w:szCs w:val="22"/>
        </w:rPr>
        <w:t>)</w:t>
      </w:r>
      <w:r w:rsidR="00FC27B1">
        <w:rPr>
          <w:b/>
          <w:sz w:val="22"/>
          <w:szCs w:val="22"/>
        </w:rPr>
        <w:t xml:space="preserve"> Itens 1 e 2  – ‘</w:t>
      </w:r>
      <w:r w:rsidR="00FC27B1" w:rsidRPr="00FC27B1">
        <w:rPr>
          <w:sz w:val="22"/>
          <w:szCs w:val="22"/>
        </w:rPr>
        <w:t>“</w:t>
      </w:r>
      <w:r w:rsidR="00FC27B1" w:rsidRPr="00FC27B1">
        <w:rPr>
          <w:b/>
          <w:bCs/>
          <w:i/>
          <w:sz w:val="22"/>
          <w:szCs w:val="22"/>
        </w:rPr>
        <w:t>Motherboard (Placa Mãe): Padrão Socket LGA 1155, Processador: Socket LGA1155 3330"</w:t>
      </w:r>
      <w:r w:rsidR="00FC27B1" w:rsidRPr="00FC27B1">
        <w:rPr>
          <w:bCs/>
          <w:i/>
          <w:sz w:val="22"/>
          <w:szCs w:val="22"/>
        </w:rPr>
        <w:t xml:space="preserve"> :</w:t>
      </w:r>
      <w:r w:rsidR="00FC27B1" w:rsidRPr="00FC27B1">
        <w:rPr>
          <w:i/>
          <w:sz w:val="22"/>
          <w:szCs w:val="22"/>
        </w:rPr>
        <w:t xml:space="preserve"> Essa especificação é para ser utilizado apenas como referência sendo aceito outras marcas e modelos iguais ou superior o entendimento da empresa está correto.</w:t>
      </w:r>
      <w:r w:rsidR="00FC27B1">
        <w:rPr>
          <w:i/>
          <w:sz w:val="22"/>
          <w:szCs w:val="22"/>
        </w:rPr>
        <w:t>”</w:t>
      </w:r>
    </w:p>
    <w:p w:rsidR="00FC27B1" w:rsidRPr="00FC27B1" w:rsidRDefault="00FC27B1" w:rsidP="00FC27B1">
      <w:pPr>
        <w:spacing w:line="240" w:lineRule="auto"/>
        <w:jc w:val="both"/>
        <w:rPr>
          <w:i/>
          <w:sz w:val="22"/>
          <w:szCs w:val="22"/>
        </w:rPr>
      </w:pPr>
      <w:r>
        <w:rPr>
          <w:b/>
          <w:sz w:val="22"/>
          <w:szCs w:val="22"/>
        </w:rPr>
        <w:lastRenderedPageBreak/>
        <w:t xml:space="preserve">4) Itens 1, 2 e 3 – </w:t>
      </w:r>
      <w:r w:rsidRPr="00FC27B1">
        <w:rPr>
          <w:b/>
          <w:i/>
          <w:sz w:val="22"/>
          <w:szCs w:val="22"/>
        </w:rPr>
        <w:t>“</w:t>
      </w:r>
      <w:r w:rsidRPr="00FC27B1">
        <w:rPr>
          <w:b/>
          <w:bCs/>
          <w:i/>
          <w:sz w:val="22"/>
          <w:szCs w:val="22"/>
        </w:rPr>
        <w:t>"constar na lista de compatibilidade da Microsoft na internet HCL, Compatibilidade eletromagnética: IEC 61000, CISPR22 e CISPR24, EPEAT Gold e RoHS, IEC 60950" :</w:t>
      </w:r>
      <w:r w:rsidRPr="00FC27B1">
        <w:rPr>
          <w:i/>
          <w:sz w:val="22"/>
          <w:szCs w:val="22"/>
        </w:rPr>
        <w:t xml:space="preserve"> Será aceito os equipamentos de informática que atendam os requisitos: segurança para o usuário e instalações,compatibilidade eletromagnética e consumo de energia desde que a empresa consiga comprovar as certificações emitidas por instituições públicas ou privadas credenciadas pelo Instituto Nacional de Metrologia, Normalização e Qualidade Industrial - Inmetro, que atestem, conforme regulamentação específica (conforme decreto n°7</w:t>
      </w:r>
      <w:r w:rsidR="00260F99">
        <w:rPr>
          <w:i/>
          <w:sz w:val="22"/>
          <w:szCs w:val="22"/>
        </w:rPr>
        <w:t>.174, de 12 de maio de 2010).”</w:t>
      </w:r>
    </w:p>
    <w:p w:rsidR="002B4C3F" w:rsidRDefault="002B4C3F" w:rsidP="00194BD8">
      <w:pPr>
        <w:jc w:val="both"/>
        <w:rPr>
          <w:b/>
          <w:sz w:val="22"/>
          <w:szCs w:val="22"/>
        </w:rPr>
      </w:pPr>
    </w:p>
    <w:p w:rsidR="002B4C3F" w:rsidRDefault="002B4C3F" w:rsidP="00EC041A">
      <w:pPr>
        <w:jc w:val="both"/>
        <w:rPr>
          <w:b/>
          <w:sz w:val="22"/>
          <w:szCs w:val="22"/>
        </w:rPr>
      </w:pPr>
      <w:r>
        <w:rPr>
          <w:b/>
          <w:sz w:val="22"/>
          <w:szCs w:val="22"/>
        </w:rPr>
        <w:t>5</w:t>
      </w:r>
      <w:r w:rsidRPr="002B4C3F">
        <w:rPr>
          <w:b/>
          <w:sz w:val="22"/>
          <w:szCs w:val="22"/>
        </w:rPr>
        <w:t>)</w:t>
      </w:r>
      <w:r w:rsidR="00FC27B1">
        <w:rPr>
          <w:b/>
          <w:sz w:val="22"/>
          <w:szCs w:val="22"/>
        </w:rPr>
        <w:t xml:space="preserve"> Item 7 – </w:t>
      </w:r>
      <w:r w:rsidR="00FC27B1">
        <w:rPr>
          <w:sz w:val="22"/>
          <w:szCs w:val="22"/>
        </w:rPr>
        <w:t xml:space="preserve">“...não </w:t>
      </w:r>
      <w:r w:rsidR="00FC27B1" w:rsidRPr="002B4C3F">
        <w:rPr>
          <w:b/>
          <w:sz w:val="22"/>
          <w:szCs w:val="22"/>
        </w:rPr>
        <w:t>será</w:t>
      </w:r>
      <w:r w:rsidR="00FC27B1">
        <w:rPr>
          <w:sz w:val="22"/>
          <w:szCs w:val="22"/>
        </w:rPr>
        <w:t xml:space="preserve"> aceito entrada de rede elétrica 220V a entrada deverá ser bivolt conforme o Item 7(nobreak).”.</w:t>
      </w:r>
    </w:p>
    <w:p w:rsidR="002B4C3F" w:rsidRDefault="002B4C3F" w:rsidP="00EC041A">
      <w:pPr>
        <w:jc w:val="both"/>
        <w:rPr>
          <w:b/>
          <w:sz w:val="22"/>
          <w:szCs w:val="22"/>
        </w:rPr>
      </w:pPr>
    </w:p>
    <w:p w:rsidR="00EC041A" w:rsidRDefault="00194BD8" w:rsidP="00EC041A">
      <w:pPr>
        <w:jc w:val="both"/>
        <w:rPr>
          <w:sz w:val="22"/>
          <w:szCs w:val="22"/>
        </w:rPr>
      </w:pPr>
      <w:r w:rsidRPr="0003780E">
        <w:rPr>
          <w:sz w:val="22"/>
          <w:szCs w:val="22"/>
        </w:rPr>
        <w:t xml:space="preserve">Havendo divergência nas demais condições editalícias, prevalecerão às adequações a serem consideradas de acordo com </w:t>
      </w:r>
      <w:r w:rsidR="005E0EAA">
        <w:rPr>
          <w:sz w:val="22"/>
          <w:szCs w:val="22"/>
        </w:rPr>
        <w:t>os esclarecimentos informados</w:t>
      </w:r>
      <w:r w:rsidRPr="0003780E">
        <w:rPr>
          <w:sz w:val="22"/>
          <w:szCs w:val="22"/>
        </w:rPr>
        <w:t xml:space="preserve"> </w:t>
      </w:r>
      <w:r w:rsidR="005E0EAA">
        <w:rPr>
          <w:sz w:val="22"/>
          <w:szCs w:val="22"/>
        </w:rPr>
        <w:t>neste instrumento</w:t>
      </w:r>
      <w:r w:rsidR="00EC041A">
        <w:rPr>
          <w:sz w:val="22"/>
          <w:szCs w:val="22"/>
        </w:rPr>
        <w:t>, bem como as especificações do Termo de Referência.</w:t>
      </w:r>
    </w:p>
    <w:p w:rsidR="00194BD8" w:rsidRDefault="00EC041A" w:rsidP="00EC041A">
      <w:pPr>
        <w:jc w:val="both"/>
        <w:rPr>
          <w:sz w:val="22"/>
          <w:szCs w:val="22"/>
        </w:rPr>
      </w:pPr>
      <w:r>
        <w:rPr>
          <w:sz w:val="22"/>
          <w:szCs w:val="22"/>
        </w:rPr>
        <w:t xml:space="preserve"> </w:t>
      </w:r>
    </w:p>
    <w:p w:rsidR="00194BD8" w:rsidRPr="0003780E" w:rsidRDefault="00194BD8" w:rsidP="00194BD8">
      <w:pPr>
        <w:jc w:val="both"/>
        <w:rPr>
          <w:sz w:val="22"/>
          <w:szCs w:val="22"/>
        </w:rPr>
      </w:pPr>
      <w:r w:rsidRPr="0003780E">
        <w:rPr>
          <w:sz w:val="22"/>
          <w:szCs w:val="22"/>
        </w:rPr>
        <w:t>Eventuais dúvidas poderão</w:t>
      </w:r>
      <w:r w:rsidR="00D0268D">
        <w:rPr>
          <w:sz w:val="22"/>
          <w:szCs w:val="22"/>
        </w:rPr>
        <w:t xml:space="preserve"> ser sanadas junto à</w:t>
      </w:r>
      <w:r w:rsidRPr="0003780E">
        <w:rPr>
          <w:sz w:val="22"/>
          <w:szCs w:val="22"/>
        </w:rPr>
        <w:t xml:space="preserve"> Pregoeir</w:t>
      </w:r>
      <w:r w:rsidR="00D0268D">
        <w:rPr>
          <w:sz w:val="22"/>
          <w:szCs w:val="22"/>
        </w:rPr>
        <w:t>a</w:t>
      </w:r>
      <w:r w:rsidRPr="0003780E">
        <w:rPr>
          <w:sz w:val="22"/>
          <w:szCs w:val="22"/>
        </w:rPr>
        <w:t xml:space="preserve"> e equipe de Apoio, através do telefone (69) 3216-5318, ou </w:t>
      </w:r>
      <w:r w:rsidR="00D0268D">
        <w:rPr>
          <w:sz w:val="22"/>
          <w:szCs w:val="22"/>
        </w:rPr>
        <w:t>no endereço Palácio Rio Madeira, Ed.</w:t>
      </w:r>
      <w:r w:rsidR="00D0268D" w:rsidRPr="0003780E">
        <w:rPr>
          <w:sz w:val="22"/>
          <w:szCs w:val="22"/>
        </w:rPr>
        <w:t xml:space="preserve"> Rio Jamari</w:t>
      </w:r>
      <w:r w:rsidR="00D0268D">
        <w:rPr>
          <w:sz w:val="22"/>
          <w:szCs w:val="22"/>
        </w:rPr>
        <w:t>/</w:t>
      </w:r>
      <w:r w:rsidR="00D0268D" w:rsidRPr="0003780E">
        <w:rPr>
          <w:sz w:val="22"/>
          <w:szCs w:val="22"/>
        </w:rPr>
        <w:t>Curvo 3</w:t>
      </w:r>
      <w:r w:rsidR="00D0268D">
        <w:rPr>
          <w:sz w:val="22"/>
          <w:szCs w:val="22"/>
        </w:rPr>
        <w:t xml:space="preserve">, </w:t>
      </w:r>
      <w:r w:rsidR="00D0268D" w:rsidRPr="0003780E">
        <w:rPr>
          <w:sz w:val="22"/>
          <w:szCs w:val="22"/>
        </w:rPr>
        <w:t>1º Andar</w:t>
      </w:r>
      <w:r w:rsidR="00D0268D">
        <w:rPr>
          <w:sz w:val="22"/>
          <w:szCs w:val="22"/>
        </w:rPr>
        <w:t>, sito à Av. Farquar  n° 2986,</w:t>
      </w:r>
      <w:r w:rsidRPr="0003780E">
        <w:rPr>
          <w:sz w:val="22"/>
          <w:szCs w:val="22"/>
        </w:rPr>
        <w:t xml:space="preserve"> Bairro Pedrinhas, </w:t>
      </w:r>
      <w:r w:rsidR="00D0268D">
        <w:rPr>
          <w:sz w:val="22"/>
          <w:szCs w:val="22"/>
        </w:rPr>
        <w:t>em Porto Velho/RO,</w:t>
      </w:r>
      <w:r w:rsidRPr="0003780E">
        <w:rPr>
          <w:sz w:val="22"/>
          <w:szCs w:val="22"/>
        </w:rPr>
        <w:t xml:space="preserve"> CEP 76.</w:t>
      </w:r>
      <w:r w:rsidR="00D0268D">
        <w:rPr>
          <w:sz w:val="22"/>
          <w:szCs w:val="22"/>
        </w:rPr>
        <w:t>801</w:t>
      </w:r>
      <w:r w:rsidRPr="0003780E">
        <w:rPr>
          <w:sz w:val="22"/>
          <w:szCs w:val="22"/>
        </w:rPr>
        <w:t>-</w:t>
      </w:r>
      <w:r w:rsidR="005E0EAA">
        <w:rPr>
          <w:sz w:val="22"/>
          <w:szCs w:val="22"/>
        </w:rPr>
        <w:t>470.</w:t>
      </w:r>
    </w:p>
    <w:p w:rsidR="00194BD8" w:rsidRPr="0003780E" w:rsidRDefault="00194BD8" w:rsidP="00194BD8">
      <w:pPr>
        <w:pStyle w:val="Recuodecorpodetexto3"/>
        <w:tabs>
          <w:tab w:val="left" w:pos="708"/>
        </w:tabs>
        <w:ind w:hanging="720"/>
        <w:jc w:val="right"/>
        <w:rPr>
          <w:sz w:val="22"/>
          <w:szCs w:val="22"/>
        </w:rPr>
      </w:pPr>
    </w:p>
    <w:p w:rsidR="00194BD8" w:rsidRPr="0003780E" w:rsidRDefault="00C70859" w:rsidP="00194BD8">
      <w:pPr>
        <w:pStyle w:val="Recuodecorpodetexto3"/>
        <w:tabs>
          <w:tab w:val="left" w:pos="708"/>
        </w:tabs>
        <w:ind w:hanging="720"/>
        <w:jc w:val="right"/>
        <w:rPr>
          <w:sz w:val="22"/>
          <w:szCs w:val="22"/>
        </w:rPr>
      </w:pPr>
      <w:r>
        <w:rPr>
          <w:sz w:val="22"/>
          <w:szCs w:val="22"/>
        </w:rPr>
        <w:t>Porto Velho</w:t>
      </w:r>
      <w:r w:rsidR="004B1EB2">
        <w:rPr>
          <w:sz w:val="22"/>
          <w:szCs w:val="22"/>
        </w:rPr>
        <w:t xml:space="preserve"> </w:t>
      </w:r>
      <w:r>
        <w:rPr>
          <w:sz w:val="22"/>
          <w:szCs w:val="22"/>
        </w:rPr>
        <w:t>-</w:t>
      </w:r>
      <w:r w:rsidR="004B1EB2">
        <w:rPr>
          <w:sz w:val="22"/>
          <w:szCs w:val="22"/>
        </w:rPr>
        <w:t xml:space="preserve"> </w:t>
      </w:r>
      <w:r w:rsidR="00264F9B">
        <w:rPr>
          <w:sz w:val="22"/>
          <w:szCs w:val="22"/>
        </w:rPr>
        <w:t>RO, 13 de Maio</w:t>
      </w:r>
      <w:r w:rsidR="00B71365">
        <w:rPr>
          <w:sz w:val="22"/>
          <w:szCs w:val="22"/>
        </w:rPr>
        <w:t xml:space="preserve"> 2014</w:t>
      </w:r>
      <w:r w:rsidR="00194BD8" w:rsidRPr="0003780E">
        <w:rPr>
          <w:sz w:val="22"/>
          <w:szCs w:val="22"/>
        </w:rPr>
        <w:t>.</w:t>
      </w:r>
    </w:p>
    <w:p w:rsidR="00194BD8" w:rsidRDefault="00194BD8" w:rsidP="00194BD8">
      <w:pPr>
        <w:pStyle w:val="Rodap"/>
        <w:tabs>
          <w:tab w:val="clear" w:pos="4419"/>
        </w:tabs>
        <w:ind w:left="851" w:right="851"/>
        <w:jc w:val="center"/>
        <w:rPr>
          <w:b/>
          <w:sz w:val="22"/>
          <w:szCs w:val="22"/>
        </w:rPr>
      </w:pPr>
    </w:p>
    <w:p w:rsidR="00046250" w:rsidRPr="00046250" w:rsidRDefault="00046250" w:rsidP="00046250">
      <w:pPr>
        <w:jc w:val="both"/>
        <w:rPr>
          <w:b/>
          <w:bCs/>
          <w:sz w:val="22"/>
          <w:szCs w:val="22"/>
        </w:rPr>
      </w:pPr>
    </w:p>
    <w:p w:rsidR="00046250" w:rsidRDefault="00046250" w:rsidP="00046250">
      <w:pPr>
        <w:jc w:val="both"/>
        <w:rPr>
          <w:b/>
          <w:bCs/>
          <w:sz w:val="22"/>
          <w:szCs w:val="22"/>
        </w:rPr>
      </w:pPr>
    </w:p>
    <w:p w:rsidR="00CF0278" w:rsidRPr="00046250" w:rsidRDefault="00CF0278" w:rsidP="00046250">
      <w:pPr>
        <w:jc w:val="both"/>
        <w:rPr>
          <w:b/>
          <w:bCs/>
          <w:sz w:val="22"/>
          <w:szCs w:val="22"/>
        </w:rPr>
      </w:pPr>
    </w:p>
    <w:p w:rsidR="00046250" w:rsidRPr="00046250" w:rsidRDefault="00046250" w:rsidP="00046250">
      <w:pPr>
        <w:pStyle w:val="Rodap"/>
        <w:tabs>
          <w:tab w:val="clear" w:pos="4419"/>
        </w:tabs>
        <w:ind w:right="-1"/>
        <w:jc w:val="center"/>
        <w:rPr>
          <w:b/>
          <w:sz w:val="22"/>
          <w:szCs w:val="22"/>
        </w:rPr>
      </w:pPr>
      <w:r w:rsidRPr="00046250">
        <w:rPr>
          <w:b/>
          <w:sz w:val="22"/>
          <w:szCs w:val="22"/>
        </w:rPr>
        <w:t>FABÍOLA RAMOS DA SILVA</w:t>
      </w:r>
    </w:p>
    <w:p w:rsidR="00046250" w:rsidRPr="00046250" w:rsidRDefault="00046250" w:rsidP="00046250">
      <w:pPr>
        <w:pStyle w:val="Rodap"/>
        <w:tabs>
          <w:tab w:val="clear" w:pos="4419"/>
        </w:tabs>
        <w:ind w:right="-1"/>
        <w:jc w:val="center"/>
        <w:rPr>
          <w:sz w:val="22"/>
          <w:szCs w:val="22"/>
        </w:rPr>
      </w:pPr>
      <w:r w:rsidRPr="00046250">
        <w:rPr>
          <w:sz w:val="22"/>
          <w:szCs w:val="22"/>
        </w:rPr>
        <w:t>Pregoeira da SUPEL/RO</w:t>
      </w:r>
    </w:p>
    <w:p w:rsidR="00046250" w:rsidRPr="00806670" w:rsidRDefault="00046250" w:rsidP="00806670">
      <w:pPr>
        <w:pStyle w:val="Rodap"/>
        <w:tabs>
          <w:tab w:val="clear" w:pos="4419"/>
        </w:tabs>
        <w:ind w:right="-1"/>
        <w:jc w:val="center"/>
        <w:rPr>
          <w:sz w:val="22"/>
          <w:szCs w:val="22"/>
        </w:rPr>
      </w:pPr>
      <w:r w:rsidRPr="00046250">
        <w:rPr>
          <w:sz w:val="22"/>
          <w:szCs w:val="22"/>
        </w:rPr>
        <w:t>Mat. 300089025</w:t>
      </w:r>
    </w:p>
    <w:sectPr w:rsidR="00046250" w:rsidRPr="00806670" w:rsidSect="0003780E">
      <w:headerReference w:type="default" r:id="rId9"/>
      <w:footerReference w:type="default" r:id="rId10"/>
      <w:pgSz w:w="11906" w:h="16838" w:code="9"/>
      <w:pgMar w:top="1134" w:right="1134" w:bottom="1134" w:left="1701" w:header="567" w:footer="19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3B3C" w:rsidRDefault="00FD3B3C" w:rsidP="0003780E">
      <w:pPr>
        <w:spacing w:line="240" w:lineRule="auto"/>
      </w:pPr>
      <w:r>
        <w:separator/>
      </w:r>
    </w:p>
  </w:endnote>
  <w:endnote w:type="continuationSeparator" w:id="0">
    <w:p w:rsidR="00FD3B3C" w:rsidRDefault="00FD3B3C" w:rsidP="000378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B3C" w:rsidRDefault="00FD3B3C" w:rsidP="0003780E">
    <w:pPr>
      <w:pStyle w:val="Rodap"/>
      <w:pBdr>
        <w:top w:val="single" w:sz="4" w:space="1" w:color="auto"/>
      </w:pBdr>
      <w:tabs>
        <w:tab w:val="clear" w:pos="4419"/>
        <w:tab w:val="clear" w:pos="8838"/>
        <w:tab w:val="right" w:pos="10206"/>
      </w:tabs>
      <w:rPr>
        <w:sz w:val="14"/>
        <w:szCs w:val="14"/>
      </w:rPr>
    </w:pPr>
    <w:r>
      <w:rPr>
        <w:sz w:val="14"/>
        <w:szCs w:val="14"/>
      </w:rPr>
      <w:t xml:space="preserve"> Palácio</w:t>
    </w:r>
    <w:r w:rsidRPr="00532B35">
      <w:rPr>
        <w:sz w:val="14"/>
        <w:szCs w:val="14"/>
      </w:rPr>
      <w:t xml:space="preserve"> Rio Madeira, Ed. </w:t>
    </w:r>
    <w:r>
      <w:rPr>
        <w:sz w:val="14"/>
        <w:szCs w:val="14"/>
      </w:rPr>
      <w:t>Rio Jamari/Curvo 3, 1º Andar,</w:t>
    </w:r>
    <w:r w:rsidRPr="00532B35">
      <w:rPr>
        <w:sz w:val="14"/>
        <w:szCs w:val="14"/>
      </w:rPr>
      <w:t xml:space="preserve"> Av. Farquar,</w:t>
    </w:r>
    <w:r>
      <w:rPr>
        <w:sz w:val="14"/>
        <w:szCs w:val="14"/>
      </w:rPr>
      <w:t xml:space="preserve"> n°</w:t>
    </w:r>
    <w:r w:rsidRPr="00532B35">
      <w:rPr>
        <w:sz w:val="14"/>
        <w:szCs w:val="14"/>
      </w:rPr>
      <w:t xml:space="preserve"> </w:t>
    </w:r>
    <w:r>
      <w:rPr>
        <w:sz w:val="14"/>
        <w:szCs w:val="14"/>
      </w:rPr>
      <w:t>2986, b</w:t>
    </w:r>
    <w:r w:rsidRPr="00532B35">
      <w:rPr>
        <w:sz w:val="14"/>
        <w:szCs w:val="14"/>
      </w:rPr>
      <w:t>airro Pedrinhas</w:t>
    </w:r>
    <w:r>
      <w:rPr>
        <w:sz w:val="14"/>
        <w:szCs w:val="14"/>
      </w:rPr>
      <w:t xml:space="preserve">, </w:t>
    </w:r>
    <w:r w:rsidRPr="00532B35">
      <w:rPr>
        <w:sz w:val="14"/>
        <w:szCs w:val="14"/>
      </w:rPr>
      <w:t>CEP 76</w:t>
    </w:r>
    <w:r>
      <w:rPr>
        <w:sz w:val="14"/>
        <w:szCs w:val="14"/>
      </w:rPr>
      <w:t>.801</w:t>
    </w:r>
    <w:r w:rsidRPr="00532B35">
      <w:rPr>
        <w:sz w:val="14"/>
        <w:szCs w:val="14"/>
      </w:rPr>
      <w:t>-</w:t>
    </w:r>
    <w:r>
      <w:rPr>
        <w:sz w:val="14"/>
        <w:szCs w:val="14"/>
      </w:rPr>
      <w:t>470, Porto Velho/</w:t>
    </w:r>
    <w:r w:rsidRPr="00532B35">
      <w:rPr>
        <w:sz w:val="14"/>
        <w:szCs w:val="14"/>
      </w:rPr>
      <w:t>RO</w:t>
    </w:r>
    <w:r>
      <w:rPr>
        <w:sz w:val="14"/>
        <w:szCs w:val="14"/>
      </w:rPr>
      <w:t xml:space="preserve">  -   Telefone</w:t>
    </w:r>
    <w:r w:rsidRPr="00532B35">
      <w:rPr>
        <w:sz w:val="14"/>
        <w:szCs w:val="14"/>
      </w:rPr>
      <w:t xml:space="preserve"> (69) 3216.5318</w:t>
    </w:r>
  </w:p>
  <w:p w:rsidR="00FD3B3C" w:rsidRDefault="00FD3B3C" w:rsidP="0003780E">
    <w:pPr>
      <w:pStyle w:val="Rodap"/>
      <w:tabs>
        <w:tab w:val="clear" w:pos="4419"/>
        <w:tab w:val="clear" w:pos="8838"/>
        <w:tab w:val="right" w:pos="10206"/>
      </w:tabs>
      <w:rPr>
        <w:sz w:val="14"/>
        <w:szCs w:val="14"/>
      </w:rPr>
    </w:pPr>
  </w:p>
  <w:p w:rsidR="00FD3B3C" w:rsidRPr="00532B35" w:rsidRDefault="00FD3B3C" w:rsidP="0003780E">
    <w:pPr>
      <w:pStyle w:val="Rodap"/>
      <w:tabs>
        <w:tab w:val="clear" w:pos="4419"/>
        <w:tab w:val="clear" w:pos="8838"/>
        <w:tab w:val="right" w:pos="10206"/>
      </w:tabs>
      <w:rPr>
        <w:sz w:val="14"/>
        <w:szCs w:val="14"/>
      </w:rPr>
    </w:pPr>
    <w:r>
      <w:rPr>
        <w:sz w:val="14"/>
        <w:szCs w:val="14"/>
      </w:rPr>
      <w:t>Rvf/ÔMEGA</w:t>
    </w:r>
  </w:p>
  <w:p w:rsidR="00FD3B3C" w:rsidRDefault="00FD3B3C">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3B3C" w:rsidRDefault="00FD3B3C" w:rsidP="0003780E">
      <w:pPr>
        <w:spacing w:line="240" w:lineRule="auto"/>
      </w:pPr>
      <w:r>
        <w:separator/>
      </w:r>
    </w:p>
  </w:footnote>
  <w:footnote w:type="continuationSeparator" w:id="0">
    <w:p w:rsidR="00FD3B3C" w:rsidRDefault="00FD3B3C" w:rsidP="000378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332" w:type="dxa"/>
      <w:tblBorders>
        <w:bottom w:val="triple" w:sz="4" w:space="0" w:color="0000FF"/>
      </w:tblBorders>
      <w:tblLayout w:type="fixed"/>
      <w:tblCellMar>
        <w:left w:w="70" w:type="dxa"/>
        <w:right w:w="70" w:type="dxa"/>
      </w:tblCellMar>
      <w:tblLook w:val="0000"/>
    </w:tblPr>
    <w:tblGrid>
      <w:gridCol w:w="911"/>
      <w:gridCol w:w="6105"/>
      <w:gridCol w:w="2316"/>
    </w:tblGrid>
    <w:tr w:rsidR="00FD3B3C" w:rsidTr="0003780E">
      <w:trPr>
        <w:cantSplit/>
        <w:trHeight w:val="889"/>
      </w:trPr>
      <w:tc>
        <w:tcPr>
          <w:tcW w:w="911" w:type="dxa"/>
        </w:tcPr>
        <w:p w:rsidR="00FD3B3C" w:rsidRDefault="00FD3B3C" w:rsidP="004C084F">
          <w:pPr>
            <w:pStyle w:val="Cabealho"/>
            <w:jc w:val="center"/>
          </w:pPr>
          <w:r>
            <w:rPr>
              <w:b/>
              <w:noProof/>
            </w:rPr>
            <w:drawing>
              <wp:inline distT="0" distB="0" distL="0" distR="0">
                <wp:extent cx="438150" cy="609600"/>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8150" cy="609600"/>
                        </a:xfrm>
                        <a:prstGeom prst="rect">
                          <a:avLst/>
                        </a:prstGeom>
                        <a:noFill/>
                        <a:ln w="9525">
                          <a:noFill/>
                          <a:miter lim="800000"/>
                          <a:headEnd/>
                          <a:tailEnd/>
                        </a:ln>
                      </pic:spPr>
                    </pic:pic>
                  </a:graphicData>
                </a:graphic>
              </wp:inline>
            </w:drawing>
          </w:r>
        </w:p>
      </w:tc>
      <w:tc>
        <w:tcPr>
          <w:tcW w:w="6105" w:type="dxa"/>
        </w:tcPr>
        <w:p w:rsidR="00FD3B3C" w:rsidRPr="00BA335A" w:rsidRDefault="00FD3B3C" w:rsidP="004C084F">
          <w:pPr>
            <w:pStyle w:val="Cabealho"/>
            <w:spacing w:before="120"/>
            <w:rPr>
              <w:b/>
              <w:bCs/>
              <w:sz w:val="22"/>
              <w:szCs w:val="22"/>
            </w:rPr>
          </w:pPr>
          <w:r w:rsidRPr="00BA335A">
            <w:rPr>
              <w:b/>
              <w:bCs/>
              <w:sz w:val="22"/>
              <w:szCs w:val="22"/>
            </w:rPr>
            <w:t>ESTADO DE RONDÔNIA</w:t>
          </w:r>
        </w:p>
        <w:p w:rsidR="00FD3B3C" w:rsidRPr="00BA335A" w:rsidRDefault="00FD3B3C" w:rsidP="004C084F">
          <w:pPr>
            <w:pStyle w:val="Cabealho"/>
            <w:rPr>
              <w:bCs/>
              <w:sz w:val="22"/>
              <w:szCs w:val="22"/>
            </w:rPr>
          </w:pPr>
          <w:r w:rsidRPr="00BA335A">
            <w:rPr>
              <w:b/>
              <w:bCs/>
              <w:sz w:val="22"/>
              <w:szCs w:val="22"/>
            </w:rPr>
            <w:t>Superintendência Estadual de Compras e Licitações</w:t>
          </w:r>
          <w:r>
            <w:rPr>
              <w:b/>
              <w:bCs/>
              <w:sz w:val="22"/>
              <w:szCs w:val="22"/>
            </w:rPr>
            <w:t xml:space="preserve"> - SUPEL</w:t>
          </w:r>
        </w:p>
        <w:p w:rsidR="00FD3B3C" w:rsidRPr="00494FDA" w:rsidRDefault="00FD3B3C" w:rsidP="004C084F">
          <w:pPr>
            <w:pStyle w:val="Cabealho"/>
            <w:rPr>
              <w:bCs/>
              <w:i/>
            </w:rPr>
          </w:pPr>
          <w:r w:rsidRPr="00BA335A">
            <w:rPr>
              <w:i/>
              <w:color w:val="000000"/>
              <w:sz w:val="22"/>
              <w:szCs w:val="22"/>
            </w:rPr>
            <w:t>Equipe de Licitações Ômega</w:t>
          </w:r>
        </w:p>
      </w:tc>
      <w:tc>
        <w:tcPr>
          <w:tcW w:w="2316" w:type="dxa"/>
        </w:tcPr>
        <w:p w:rsidR="00FD3B3C" w:rsidRDefault="00CD2C78" w:rsidP="004C084F">
          <w:pPr>
            <w:pStyle w:val="Cabealho"/>
            <w:rPr>
              <w:bCs/>
              <w:sz w:val="18"/>
            </w:rPr>
          </w:pPr>
          <w:r>
            <w:rPr>
              <w:bCs/>
              <w:noProof/>
              <w:sz w:val="18"/>
            </w:rPr>
            <w:pict>
              <v:shapetype id="_x0000_t202" coordsize="21600,21600" o:spt="202" path="m,l,21600r21600,l21600,xe">
                <v:stroke joinstyle="miter"/>
                <v:path gradientshapeok="t" o:connecttype="rect"/>
              </v:shapetype>
              <v:shape id="_x0000_s2052" type="#_x0000_t202" style="position:absolute;margin-left:58.2pt;margin-top:6.55pt;width:50.5pt;height:19.95pt;z-index:251663360;mso-position-horizontal-relative:text;mso-position-vertical-relative:text" filled="f" stroked="f">
                <v:textbox style="mso-next-textbox:#_x0000_s2052">
                  <w:txbxContent>
                    <w:p w:rsidR="00FD3B3C" w:rsidRPr="00E32BF3" w:rsidRDefault="00FD3B3C" w:rsidP="0003780E">
                      <w:r>
                        <w:t>Fls.</w:t>
                      </w:r>
                    </w:p>
                  </w:txbxContent>
                </v:textbox>
              </v:shape>
            </w:pict>
          </w:r>
          <w:r>
            <w:rPr>
              <w:bCs/>
              <w:noProof/>
              <w:sz w:val="18"/>
            </w:rPr>
            <w:pict>
              <v:oval id="_x0000_s2050" style="position:absolute;margin-left:63.3pt;margin-top:-10.45pt;width:59.3pt;height:55.65pt;z-index:251661312;mso-position-horizontal-relative:text;mso-position-vertical-relative:text" strokecolor="#1f497d" strokeweight="1pt">
                <v:stroke dashstyle="dash"/>
                <v:shadow color="#868686"/>
              </v:oval>
            </w:pict>
          </w:r>
        </w:p>
        <w:p w:rsidR="00FD3B3C" w:rsidRDefault="00CD2C78" w:rsidP="004C084F">
          <w:pPr>
            <w:pStyle w:val="Cabealho"/>
          </w:pPr>
          <w:r w:rsidRPr="00CD2C78">
            <w:rPr>
              <w:bCs/>
              <w:noProof/>
              <w:sz w:val="18"/>
            </w:rPr>
            <w:pict>
              <v:shape id="_x0000_s2053" type="#_x0000_t202" style="position:absolute;margin-left:59.05pt;margin-top:5.85pt;width:49.65pt;height:19.95pt;z-index:251664384" filled="f" stroked="f">
                <v:textbox style="mso-next-textbox:#_x0000_s2053">
                  <w:txbxContent>
                    <w:p w:rsidR="00FD3B3C" w:rsidRPr="00E32BF3" w:rsidRDefault="00FD3B3C" w:rsidP="0003780E">
                      <w:pPr>
                        <w:rPr>
                          <w:sz w:val="14"/>
                        </w:rPr>
                      </w:pPr>
                      <w:r w:rsidRPr="00E32BF3">
                        <w:rPr>
                          <w:sz w:val="14"/>
                        </w:rPr>
                        <w:t>Rubrica</w:t>
                      </w:r>
                    </w:p>
                  </w:txbxContent>
                </v:textbox>
              </v:shape>
            </w:pict>
          </w:r>
          <w:r>
            <w:rPr>
              <w:noProof/>
            </w:rPr>
            <w:pict>
              <v:shapetype id="_x0000_t32" coordsize="21600,21600" o:spt="32" o:oned="t" path="m,l21600,21600e" filled="f">
                <v:path arrowok="t" fillok="f" o:connecttype="none"/>
                <o:lock v:ext="edit" shapetype="t"/>
              </v:shapetype>
              <v:shape id="_x0000_s2051" type="#_x0000_t32" style="position:absolute;margin-left:72.2pt;margin-top:9.5pt;width:46.65pt;height:.05pt;z-index:251662336" o:connectortype="straight" strokecolor="#1f497d" strokeweight="1pt">
                <v:stroke dashstyle="dash"/>
                <v:shadow color="#868686"/>
              </v:shape>
            </w:pict>
          </w:r>
        </w:p>
      </w:tc>
    </w:tr>
  </w:tbl>
  <w:p w:rsidR="00FD3B3C" w:rsidRDefault="00CD2C78" w:rsidP="0003780E">
    <w:pPr>
      <w:pStyle w:val="Cabealho"/>
      <w:tabs>
        <w:tab w:val="center" w:pos="9360"/>
      </w:tabs>
    </w:pPr>
    <w:r>
      <w:rPr>
        <w:noProof/>
      </w:rPr>
      <w:pict>
        <v:shape id="_x0000_s2049" style="position:absolute;margin-left:-18.2pt;margin-top:66.25pt;width:38.8pt;height:47.45pt;z-index:251660288;mso-position-horizontal-relative:text;mso-position-vertical-relative:text" coordsize="776,949" path="m,390r307,l464,r68,390l776,391r-9,74l574,615r59,334l598,906,563,864,528,822,492,782,454,743,417,706,379,668,339,632,300,597,259,564,218,531,176,501,133,471,90,443,45,416,,390xe" stroked="f">
          <v:path arrowok="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2301B"/>
    <w:multiLevelType w:val="hybridMultilevel"/>
    <w:tmpl w:val="5150F50E"/>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3EE943CC"/>
    <w:multiLevelType w:val="hybridMultilevel"/>
    <w:tmpl w:val="38C2E45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502260E8"/>
    <w:multiLevelType w:val="multilevel"/>
    <w:tmpl w:val="29B45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055"/>
    <o:shapelayout v:ext="edit">
      <o:idmap v:ext="edit" data="2"/>
      <o:rules v:ext="edit">
        <o:r id="V:Rule2" type="connector" idref="#_x0000_s2051"/>
      </o:rules>
    </o:shapelayout>
  </w:hdrShapeDefaults>
  <w:footnotePr>
    <w:footnote w:id="-1"/>
    <w:footnote w:id="0"/>
  </w:footnotePr>
  <w:endnotePr>
    <w:endnote w:id="-1"/>
    <w:endnote w:id="0"/>
  </w:endnotePr>
  <w:compat/>
  <w:rsids>
    <w:rsidRoot w:val="00F841E3"/>
    <w:rsid w:val="0003780E"/>
    <w:rsid w:val="00046250"/>
    <w:rsid w:val="00083733"/>
    <w:rsid w:val="00194BD8"/>
    <w:rsid w:val="001C734B"/>
    <w:rsid w:val="00247C64"/>
    <w:rsid w:val="00260F99"/>
    <w:rsid w:val="00264F9B"/>
    <w:rsid w:val="002B4C3F"/>
    <w:rsid w:val="00301F9F"/>
    <w:rsid w:val="003A6B78"/>
    <w:rsid w:val="00444D4F"/>
    <w:rsid w:val="00474C91"/>
    <w:rsid w:val="004B1EB2"/>
    <w:rsid w:val="004C084F"/>
    <w:rsid w:val="00513749"/>
    <w:rsid w:val="005660B8"/>
    <w:rsid w:val="005B6846"/>
    <w:rsid w:val="005C00F7"/>
    <w:rsid w:val="005E0EAA"/>
    <w:rsid w:val="00665445"/>
    <w:rsid w:val="006D0843"/>
    <w:rsid w:val="007963B8"/>
    <w:rsid w:val="00806670"/>
    <w:rsid w:val="00831BCE"/>
    <w:rsid w:val="008359AD"/>
    <w:rsid w:val="00877075"/>
    <w:rsid w:val="00910AD4"/>
    <w:rsid w:val="009B7814"/>
    <w:rsid w:val="00A046C8"/>
    <w:rsid w:val="00A23C1C"/>
    <w:rsid w:val="00A9638B"/>
    <w:rsid w:val="00AD34A4"/>
    <w:rsid w:val="00AE1962"/>
    <w:rsid w:val="00AF4D31"/>
    <w:rsid w:val="00B71365"/>
    <w:rsid w:val="00BF571C"/>
    <w:rsid w:val="00C558A9"/>
    <w:rsid w:val="00C70859"/>
    <w:rsid w:val="00CA06EA"/>
    <w:rsid w:val="00CD2C78"/>
    <w:rsid w:val="00CF0278"/>
    <w:rsid w:val="00CF0637"/>
    <w:rsid w:val="00D0268D"/>
    <w:rsid w:val="00D054E7"/>
    <w:rsid w:val="00D55BF4"/>
    <w:rsid w:val="00D5634F"/>
    <w:rsid w:val="00D66813"/>
    <w:rsid w:val="00DA1735"/>
    <w:rsid w:val="00DD7223"/>
    <w:rsid w:val="00E12879"/>
    <w:rsid w:val="00E82314"/>
    <w:rsid w:val="00EC041A"/>
    <w:rsid w:val="00EC34D3"/>
    <w:rsid w:val="00EC3A49"/>
    <w:rsid w:val="00EE6E7D"/>
    <w:rsid w:val="00F77EF7"/>
    <w:rsid w:val="00F841E3"/>
    <w:rsid w:val="00FA278A"/>
    <w:rsid w:val="00FC27B1"/>
    <w:rsid w:val="00FD3B3C"/>
    <w:rsid w:val="00FE0844"/>
    <w:rsid w:val="00FE788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1E3"/>
    <w:pPr>
      <w:widowControl w:val="0"/>
      <w:autoSpaceDN w:val="0"/>
      <w:adjustRightInd w:val="0"/>
      <w:spacing w:after="0" w:line="100" w:lineRule="atLeast"/>
    </w:pPr>
    <w:rPr>
      <w:rFonts w:eastAsia="Times New Roman"/>
      <w:sz w:val="20"/>
      <w:szCs w:val="20"/>
      <w:lang w:eastAsia="pt-BR"/>
    </w:rPr>
  </w:style>
  <w:style w:type="paragraph" w:styleId="Ttulo2">
    <w:name w:val="heading 2"/>
    <w:basedOn w:val="Normal"/>
    <w:next w:val="Normal"/>
    <w:link w:val="Ttulo2Char"/>
    <w:uiPriority w:val="99"/>
    <w:qFormat/>
    <w:rsid w:val="00F841E3"/>
    <w:pPr>
      <w:keepNext/>
      <w:tabs>
        <w:tab w:val="center" w:pos="5363"/>
      </w:tabs>
      <w:autoSpaceDE w:val="0"/>
      <w:spacing w:before="45" w:line="240" w:lineRule="auto"/>
      <w:jc w:val="center"/>
      <w:outlineLvl w:val="1"/>
    </w:pPr>
    <w:rPr>
      <w:rFonts w:ascii="Verdana" w:hAnsi="Verdana" w:cs="Verdana"/>
      <w:b/>
      <w:bCs/>
      <w:i/>
      <w:iCs/>
      <w:color w:val="FF00FF"/>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841E3"/>
    <w:rPr>
      <w:rFonts w:ascii="Verdana" w:eastAsia="Times New Roman" w:hAnsi="Verdana" w:cs="Verdana"/>
      <w:b/>
      <w:bCs/>
      <w:i/>
      <w:iCs/>
      <w:color w:val="FF00FF"/>
      <w:sz w:val="24"/>
      <w:szCs w:val="24"/>
      <w:lang w:eastAsia="pt-BR"/>
    </w:rPr>
  </w:style>
  <w:style w:type="paragraph" w:styleId="Rodap">
    <w:name w:val="footer"/>
    <w:aliases w:val="Char, Char"/>
    <w:basedOn w:val="Normal"/>
    <w:link w:val="RodapChar"/>
    <w:uiPriority w:val="99"/>
    <w:rsid w:val="00F841E3"/>
    <w:pPr>
      <w:tabs>
        <w:tab w:val="center" w:pos="4419"/>
        <w:tab w:val="right" w:pos="8838"/>
      </w:tabs>
    </w:pPr>
  </w:style>
  <w:style w:type="character" w:customStyle="1" w:styleId="RodapChar">
    <w:name w:val="Rodapé Char"/>
    <w:aliases w:val="Char Char, Char Char"/>
    <w:basedOn w:val="Fontepargpadro"/>
    <w:link w:val="Rodap"/>
    <w:uiPriority w:val="99"/>
    <w:rsid w:val="00F841E3"/>
    <w:rPr>
      <w:rFonts w:eastAsia="Times New Roman"/>
      <w:sz w:val="20"/>
      <w:szCs w:val="20"/>
      <w:lang w:eastAsia="pt-BR"/>
    </w:rPr>
  </w:style>
  <w:style w:type="paragraph" w:styleId="Recuodecorpodetexto3">
    <w:name w:val="Body Text Indent 3"/>
    <w:basedOn w:val="Normal"/>
    <w:link w:val="Recuodecorpodetexto3Char"/>
    <w:uiPriority w:val="99"/>
    <w:rsid w:val="00F841E3"/>
    <w:pPr>
      <w:ind w:firstLine="1418"/>
    </w:pPr>
    <w:rPr>
      <w:sz w:val="24"/>
    </w:rPr>
  </w:style>
  <w:style w:type="character" w:customStyle="1" w:styleId="Recuodecorpodetexto3Char">
    <w:name w:val="Recuo de corpo de texto 3 Char"/>
    <w:basedOn w:val="Fontepargpadro"/>
    <w:link w:val="Recuodecorpodetexto3"/>
    <w:uiPriority w:val="99"/>
    <w:rsid w:val="00F841E3"/>
    <w:rPr>
      <w:rFonts w:eastAsia="Times New Roman"/>
      <w:sz w:val="24"/>
      <w:szCs w:val="20"/>
      <w:lang w:eastAsia="pt-BR"/>
    </w:rPr>
  </w:style>
  <w:style w:type="character" w:styleId="Hyperlink">
    <w:name w:val="Hyperlink"/>
    <w:basedOn w:val="Fontepargpadro"/>
    <w:uiPriority w:val="99"/>
    <w:rsid w:val="00F841E3"/>
    <w:rPr>
      <w:rFonts w:eastAsia="Times New Roman" w:cs="Times New Roman"/>
      <w:color w:val="0000FF"/>
      <w:sz w:val="20"/>
      <w:szCs w:val="20"/>
      <w:u w:val="single"/>
    </w:rPr>
  </w:style>
  <w:style w:type="table" w:styleId="Tabelacomgrade">
    <w:name w:val="Table Grid"/>
    <w:basedOn w:val="Tabelanormal"/>
    <w:uiPriority w:val="59"/>
    <w:rsid w:val="00F841E3"/>
    <w:pPr>
      <w:spacing w:after="0" w:line="240" w:lineRule="auto"/>
    </w:pPr>
    <w:rPr>
      <w:rFonts w:ascii="Calibri" w:eastAsia="Times New Roman" w:hAnsi="Calibri" w:cs="Calibri"/>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aliases w:val="hd,he,Header Char,Cabeçalho superior,Char Char Char Char Char Char Char, Char Char Char Char Char Char Char"/>
    <w:basedOn w:val="Normal"/>
    <w:link w:val="CabealhoChar"/>
    <w:unhideWhenUsed/>
    <w:rsid w:val="0003780E"/>
    <w:pPr>
      <w:tabs>
        <w:tab w:val="center" w:pos="4252"/>
        <w:tab w:val="right" w:pos="8504"/>
      </w:tabs>
      <w:spacing w:line="240" w:lineRule="auto"/>
    </w:pPr>
  </w:style>
  <w:style w:type="character" w:customStyle="1" w:styleId="CabealhoChar">
    <w:name w:val="Cabeçalho Char"/>
    <w:aliases w:val="hd Char,he Char,Header Char Char,Cabeçalho superior Char,Char Char Char Char Char Char Char Char, Char Char Char Char Char Char Char Char"/>
    <w:basedOn w:val="Fontepargpadro"/>
    <w:link w:val="Cabealho"/>
    <w:rsid w:val="0003780E"/>
    <w:rPr>
      <w:rFonts w:eastAsia="Times New Roman"/>
      <w:sz w:val="20"/>
      <w:szCs w:val="20"/>
      <w:lang w:eastAsia="pt-BR"/>
    </w:rPr>
  </w:style>
  <w:style w:type="paragraph" w:styleId="Textodebalo">
    <w:name w:val="Balloon Text"/>
    <w:basedOn w:val="Normal"/>
    <w:link w:val="TextodebaloChar"/>
    <w:uiPriority w:val="99"/>
    <w:semiHidden/>
    <w:unhideWhenUsed/>
    <w:rsid w:val="0003780E"/>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03780E"/>
    <w:rPr>
      <w:rFonts w:ascii="Tahoma" w:eastAsia="Times New Roman" w:hAnsi="Tahoma" w:cs="Tahoma"/>
      <w:sz w:val="16"/>
      <w:szCs w:val="16"/>
      <w:lang w:eastAsia="pt-BR"/>
    </w:rPr>
  </w:style>
  <w:style w:type="paragraph" w:styleId="PargrafodaLista">
    <w:name w:val="List Paragraph"/>
    <w:basedOn w:val="Normal"/>
    <w:uiPriority w:val="34"/>
    <w:qFormat/>
    <w:rsid w:val="00AE1962"/>
    <w:pPr>
      <w:ind w:left="720"/>
      <w:contextualSpacing/>
    </w:pPr>
  </w:style>
  <w:style w:type="paragraph" w:customStyle="1" w:styleId="ecxmsonormal">
    <w:name w:val="ecxmsonormal"/>
    <w:basedOn w:val="Normal"/>
    <w:rsid w:val="005C00F7"/>
    <w:pPr>
      <w:widowControl/>
      <w:autoSpaceDN/>
      <w:adjustRightInd/>
      <w:spacing w:before="100" w:beforeAutospacing="1" w:after="100" w:afterAutospacing="1" w:line="240" w:lineRule="auto"/>
    </w:pPr>
    <w:rPr>
      <w:sz w:val="24"/>
      <w:szCs w:val="24"/>
    </w:rPr>
  </w:style>
</w:styles>
</file>

<file path=word/webSettings.xml><?xml version="1.0" encoding="utf-8"?>
<w:webSettings xmlns:r="http://schemas.openxmlformats.org/officeDocument/2006/relationships" xmlns:w="http://schemas.openxmlformats.org/wordprocessingml/2006/main">
  <w:divs>
    <w:div w:id="276261608">
      <w:bodyDiv w:val="1"/>
      <w:marLeft w:val="0"/>
      <w:marRight w:val="0"/>
      <w:marTop w:val="0"/>
      <w:marBottom w:val="0"/>
      <w:divBdr>
        <w:top w:val="none" w:sz="0" w:space="0" w:color="auto"/>
        <w:left w:val="none" w:sz="0" w:space="0" w:color="auto"/>
        <w:bottom w:val="none" w:sz="0" w:space="0" w:color="auto"/>
        <w:right w:val="none" w:sz="0" w:space="0" w:color="auto"/>
      </w:divBdr>
    </w:div>
    <w:div w:id="1506434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cu.gov.br/Consultas/Juris/Docs/judoc/Acord/20101215/AC_7549_42_10_2.doc" TargetMode="External"/><Relationship Id="rId3" Type="http://schemas.openxmlformats.org/officeDocument/2006/relationships/settings" Target="settings.xml"/><Relationship Id="rId7" Type="http://schemas.openxmlformats.org/officeDocument/2006/relationships/hyperlink" Target="http://www.cpubenchmark.net/high_end_cpus.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1270</Words>
  <Characters>6863</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ivanilde ferreira angelo</dc:creator>
  <cp:lastModifiedBy>06962303807</cp:lastModifiedBy>
  <cp:revision>13</cp:revision>
  <cp:lastPrinted>2014-03-06T18:27:00Z</cp:lastPrinted>
  <dcterms:created xsi:type="dcterms:W3CDTF">2014-05-13T14:27:00Z</dcterms:created>
  <dcterms:modified xsi:type="dcterms:W3CDTF">2014-05-13T16:20:00Z</dcterms:modified>
</cp:coreProperties>
</file>